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color w:val="000000"/>
          <w:sz w:val="32"/>
          <w:szCs w:val="32"/>
          <w:shd w:val="clear" w:color="auto" w:fill="FFFFFF"/>
        </w:rPr>
      </w:pPr>
      <w:bookmarkStart w:id="0" w:name="_GoBack"/>
      <w:bookmarkEnd w:id="0"/>
    </w:p>
    <w:p>
      <w:pPr>
        <w:spacing w:line="600" w:lineRule="exact"/>
        <w:ind w:firstLine="880" w:firstLineChars="200"/>
        <w:jc w:val="center"/>
        <w:rPr>
          <w:rFonts w:hint="eastAsia" w:ascii="方正小标宋简体" w:eastAsia="方正小标宋简体"/>
          <w:color w:val="000000"/>
          <w:sz w:val="44"/>
          <w:szCs w:val="44"/>
          <w:shd w:val="clear" w:color="auto" w:fill="FFFFFF"/>
        </w:rPr>
      </w:pPr>
      <w:r>
        <w:rPr>
          <w:rFonts w:hint="eastAsia" w:ascii="方正小标宋简体" w:eastAsia="方正小标宋简体"/>
          <w:color w:val="000000"/>
          <w:sz w:val="44"/>
          <w:szCs w:val="44"/>
          <w:shd w:val="clear" w:color="auto" w:fill="FFFFFF"/>
          <w:lang w:val="en-US" w:eastAsia="zh-CN"/>
        </w:rPr>
        <w:t>湘西州司法局</w:t>
      </w:r>
      <w:r>
        <w:rPr>
          <w:rFonts w:hint="eastAsia" w:ascii="方正小标宋简体" w:eastAsia="方正小标宋简体"/>
          <w:color w:val="000000"/>
          <w:sz w:val="44"/>
          <w:szCs w:val="44"/>
          <w:shd w:val="clear" w:color="auto" w:fill="FFFFFF"/>
        </w:rPr>
        <w:t>告知承诺制证明事项目录</w:t>
      </w:r>
    </w:p>
    <w:tbl>
      <w:tblPr>
        <w:tblStyle w:val="10"/>
        <w:tblW w:w="11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65"/>
        <w:gridCol w:w="1120"/>
        <w:gridCol w:w="721"/>
        <w:gridCol w:w="4192"/>
        <w:gridCol w:w="6"/>
        <w:gridCol w:w="768"/>
        <w:gridCol w:w="6"/>
        <w:gridCol w:w="830"/>
        <w:gridCol w:w="6"/>
        <w:gridCol w:w="1080"/>
        <w:gridCol w:w="6"/>
        <w:gridCol w:w="91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7" w:type="dxa"/>
            <w:vMerge w:val="restart"/>
            <w:noWrap w:val="0"/>
            <w:vAlign w:val="center"/>
          </w:tcPr>
          <w:p>
            <w:pPr>
              <w:spacing w:line="300" w:lineRule="exact"/>
              <w:jc w:val="center"/>
              <w:rPr>
                <w:rFonts w:ascii="黑体" w:hAnsi="黑体" w:eastAsia="黑体"/>
                <w:szCs w:val="21"/>
              </w:rPr>
            </w:pPr>
            <w:r>
              <w:rPr>
                <w:rFonts w:ascii="黑体" w:hAnsi="黑体" w:eastAsia="黑体"/>
                <w:szCs w:val="21"/>
              </w:rPr>
              <w:t>序号</w:t>
            </w:r>
          </w:p>
        </w:tc>
        <w:tc>
          <w:tcPr>
            <w:tcW w:w="965" w:type="dxa"/>
            <w:vMerge w:val="restart"/>
            <w:noWrap w:val="0"/>
            <w:vAlign w:val="center"/>
          </w:tcPr>
          <w:p>
            <w:pPr>
              <w:spacing w:line="300" w:lineRule="exact"/>
              <w:ind w:firstLine="210" w:firstLineChars="100"/>
              <w:jc w:val="left"/>
              <w:rPr>
                <w:rFonts w:hint="eastAsia" w:ascii="黑体" w:hAnsi="黑体" w:eastAsia="黑体"/>
                <w:szCs w:val="21"/>
                <w:lang w:val="en-US" w:eastAsia="zh-CN"/>
              </w:rPr>
            </w:pPr>
            <w:r>
              <w:rPr>
                <w:rFonts w:hint="eastAsia" w:ascii="黑体" w:hAnsi="黑体" w:eastAsia="黑体"/>
                <w:szCs w:val="21"/>
                <w:lang w:val="en-US" w:eastAsia="zh-CN"/>
              </w:rPr>
              <w:t>事项</w:t>
            </w:r>
          </w:p>
          <w:p>
            <w:pPr>
              <w:spacing w:line="300" w:lineRule="exact"/>
              <w:ind w:firstLine="210" w:firstLineChars="100"/>
              <w:jc w:val="left"/>
              <w:rPr>
                <w:rFonts w:hint="eastAsia" w:ascii="黑体" w:hAnsi="黑体" w:eastAsia="黑体"/>
                <w:szCs w:val="21"/>
                <w:lang w:val="en-US" w:eastAsia="zh-CN"/>
              </w:rPr>
            </w:pPr>
            <w:r>
              <w:rPr>
                <w:rFonts w:hint="eastAsia" w:ascii="黑体" w:hAnsi="黑体" w:eastAsia="黑体"/>
                <w:szCs w:val="21"/>
                <w:lang w:val="en-US" w:eastAsia="zh-CN"/>
              </w:rPr>
              <w:t>名称</w:t>
            </w:r>
          </w:p>
        </w:tc>
        <w:tc>
          <w:tcPr>
            <w:tcW w:w="1120" w:type="dxa"/>
            <w:vMerge w:val="restart"/>
            <w:noWrap w:val="0"/>
            <w:vAlign w:val="center"/>
          </w:tcPr>
          <w:p>
            <w:pPr>
              <w:spacing w:line="300" w:lineRule="exact"/>
              <w:jc w:val="center"/>
              <w:rPr>
                <w:rFonts w:ascii="黑体" w:hAnsi="黑体" w:eastAsia="黑体"/>
                <w:szCs w:val="21"/>
              </w:rPr>
            </w:pPr>
            <w:r>
              <w:rPr>
                <w:rFonts w:ascii="黑体" w:hAnsi="黑体" w:eastAsia="黑体"/>
                <w:szCs w:val="21"/>
              </w:rPr>
              <w:t>证明</w:t>
            </w:r>
          </w:p>
          <w:p>
            <w:pPr>
              <w:spacing w:line="300" w:lineRule="exact"/>
              <w:jc w:val="center"/>
              <w:rPr>
                <w:rFonts w:ascii="黑体" w:hAnsi="黑体" w:eastAsia="黑体"/>
                <w:szCs w:val="21"/>
              </w:rPr>
            </w:pPr>
            <w:r>
              <w:rPr>
                <w:rFonts w:ascii="黑体" w:hAnsi="黑体" w:eastAsia="黑体"/>
                <w:szCs w:val="21"/>
              </w:rPr>
              <w:t>名称</w:t>
            </w:r>
          </w:p>
        </w:tc>
        <w:tc>
          <w:tcPr>
            <w:tcW w:w="721" w:type="dxa"/>
            <w:vMerge w:val="restart"/>
            <w:noWrap w:val="0"/>
            <w:vAlign w:val="center"/>
          </w:tcPr>
          <w:p>
            <w:pPr>
              <w:spacing w:line="300" w:lineRule="exact"/>
              <w:jc w:val="center"/>
              <w:rPr>
                <w:rFonts w:ascii="黑体" w:hAnsi="黑体" w:eastAsia="黑体"/>
                <w:szCs w:val="21"/>
              </w:rPr>
            </w:pPr>
            <w:r>
              <w:rPr>
                <w:rFonts w:ascii="黑体" w:hAnsi="黑体" w:eastAsia="黑体"/>
                <w:szCs w:val="21"/>
              </w:rPr>
              <w:t>证明</w:t>
            </w:r>
          </w:p>
          <w:p>
            <w:pPr>
              <w:spacing w:line="300" w:lineRule="exact"/>
              <w:jc w:val="center"/>
              <w:rPr>
                <w:rFonts w:ascii="黑体" w:hAnsi="黑体" w:eastAsia="黑体"/>
                <w:szCs w:val="21"/>
              </w:rPr>
            </w:pPr>
            <w:r>
              <w:rPr>
                <w:rFonts w:ascii="黑体" w:hAnsi="黑体" w:eastAsia="黑体"/>
                <w:szCs w:val="21"/>
              </w:rPr>
              <w:t>用途</w:t>
            </w:r>
          </w:p>
        </w:tc>
        <w:tc>
          <w:tcPr>
            <w:tcW w:w="4972" w:type="dxa"/>
            <w:gridSpan w:val="4"/>
            <w:noWrap w:val="0"/>
            <w:vAlign w:val="center"/>
          </w:tcPr>
          <w:p>
            <w:pPr>
              <w:spacing w:line="300" w:lineRule="exact"/>
              <w:jc w:val="center"/>
              <w:rPr>
                <w:rFonts w:ascii="黑体" w:hAnsi="黑体" w:eastAsia="黑体"/>
                <w:szCs w:val="21"/>
              </w:rPr>
            </w:pPr>
            <w:r>
              <w:rPr>
                <w:rFonts w:ascii="黑体" w:hAnsi="黑体" w:eastAsia="黑体"/>
                <w:szCs w:val="21"/>
              </w:rPr>
              <w:t>设定依据</w:t>
            </w:r>
          </w:p>
        </w:tc>
        <w:tc>
          <w:tcPr>
            <w:tcW w:w="1922" w:type="dxa"/>
            <w:gridSpan w:val="4"/>
            <w:noWrap w:val="0"/>
            <w:vAlign w:val="center"/>
          </w:tcPr>
          <w:p>
            <w:pPr>
              <w:spacing w:line="300" w:lineRule="exact"/>
              <w:jc w:val="center"/>
              <w:rPr>
                <w:rFonts w:ascii="黑体" w:hAnsi="黑体" w:eastAsia="黑体"/>
                <w:szCs w:val="21"/>
              </w:rPr>
            </w:pPr>
            <w:r>
              <w:rPr>
                <w:rFonts w:ascii="黑体" w:hAnsi="黑体" w:eastAsia="黑体"/>
                <w:szCs w:val="21"/>
              </w:rPr>
              <w:t>实施基本情况</w:t>
            </w:r>
          </w:p>
        </w:tc>
        <w:tc>
          <w:tcPr>
            <w:tcW w:w="926" w:type="dxa"/>
            <w:gridSpan w:val="2"/>
            <w:noWrap w:val="0"/>
            <w:vAlign w:val="center"/>
          </w:tcPr>
          <w:p>
            <w:pPr>
              <w:spacing w:line="300" w:lineRule="exact"/>
              <w:jc w:val="center"/>
              <w:rPr>
                <w:rFonts w:ascii="黑体" w:hAnsi="黑体" w:eastAsia="黑体"/>
                <w:szCs w:val="21"/>
              </w:rPr>
            </w:pPr>
            <w:r>
              <w:rPr>
                <w:rFonts w:ascii="黑体" w:hAnsi="黑体" w:eastAsia="黑体"/>
                <w:szCs w:val="21"/>
              </w:rPr>
              <w:t>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28" w:hRule="atLeast"/>
          <w:jc w:val="center"/>
        </w:trPr>
        <w:tc>
          <w:tcPr>
            <w:tcW w:w="557" w:type="dxa"/>
            <w:vMerge w:val="continue"/>
            <w:noWrap w:val="0"/>
            <w:vAlign w:val="center"/>
          </w:tcPr>
          <w:p>
            <w:pPr>
              <w:spacing w:line="300" w:lineRule="exact"/>
              <w:jc w:val="center"/>
              <w:rPr>
                <w:rFonts w:ascii="黑体" w:hAnsi="黑体" w:eastAsia="黑体"/>
                <w:szCs w:val="21"/>
              </w:rPr>
            </w:pPr>
          </w:p>
        </w:tc>
        <w:tc>
          <w:tcPr>
            <w:tcW w:w="965" w:type="dxa"/>
            <w:vMerge w:val="continue"/>
            <w:noWrap w:val="0"/>
            <w:vAlign w:val="center"/>
          </w:tcPr>
          <w:p>
            <w:pPr>
              <w:spacing w:line="300" w:lineRule="exact"/>
              <w:jc w:val="center"/>
              <w:rPr>
                <w:rFonts w:ascii="黑体" w:hAnsi="黑体" w:eastAsia="黑体"/>
                <w:szCs w:val="21"/>
              </w:rPr>
            </w:pPr>
          </w:p>
        </w:tc>
        <w:tc>
          <w:tcPr>
            <w:tcW w:w="1120" w:type="dxa"/>
            <w:vMerge w:val="continue"/>
            <w:noWrap w:val="0"/>
            <w:vAlign w:val="center"/>
          </w:tcPr>
          <w:p>
            <w:pPr>
              <w:spacing w:line="300" w:lineRule="exact"/>
              <w:jc w:val="center"/>
              <w:rPr>
                <w:rFonts w:ascii="黑体" w:hAnsi="黑体" w:eastAsia="黑体"/>
                <w:szCs w:val="21"/>
              </w:rPr>
            </w:pPr>
          </w:p>
        </w:tc>
        <w:tc>
          <w:tcPr>
            <w:tcW w:w="721" w:type="dxa"/>
            <w:vMerge w:val="continue"/>
            <w:noWrap w:val="0"/>
            <w:vAlign w:val="center"/>
          </w:tcPr>
          <w:p>
            <w:pPr>
              <w:spacing w:line="300" w:lineRule="exact"/>
              <w:jc w:val="center"/>
              <w:rPr>
                <w:rFonts w:ascii="黑体" w:hAnsi="黑体" w:eastAsia="黑体"/>
                <w:szCs w:val="21"/>
              </w:rPr>
            </w:pPr>
          </w:p>
        </w:tc>
        <w:tc>
          <w:tcPr>
            <w:tcW w:w="4192" w:type="dxa"/>
            <w:noWrap w:val="0"/>
            <w:vAlign w:val="center"/>
          </w:tcPr>
          <w:p>
            <w:pPr>
              <w:spacing w:line="300" w:lineRule="exact"/>
              <w:jc w:val="center"/>
              <w:rPr>
                <w:rFonts w:ascii="黑体" w:hAnsi="黑体" w:eastAsia="黑体"/>
                <w:szCs w:val="21"/>
              </w:rPr>
            </w:pPr>
            <w:r>
              <w:rPr>
                <w:rFonts w:ascii="黑体" w:hAnsi="黑体" w:eastAsia="黑体"/>
                <w:szCs w:val="21"/>
              </w:rPr>
              <w:t>依据名称、文号及条文内容</w:t>
            </w:r>
          </w:p>
        </w:tc>
        <w:tc>
          <w:tcPr>
            <w:tcW w:w="774" w:type="dxa"/>
            <w:gridSpan w:val="2"/>
            <w:noWrap w:val="0"/>
            <w:vAlign w:val="center"/>
          </w:tcPr>
          <w:p>
            <w:pPr>
              <w:spacing w:line="300" w:lineRule="exact"/>
              <w:jc w:val="center"/>
              <w:rPr>
                <w:rFonts w:ascii="黑体" w:hAnsi="黑体" w:eastAsia="黑体"/>
                <w:szCs w:val="21"/>
              </w:rPr>
            </w:pPr>
            <w:r>
              <w:rPr>
                <w:rFonts w:ascii="黑体" w:hAnsi="黑体" w:eastAsia="黑体"/>
                <w:szCs w:val="21"/>
              </w:rPr>
              <w:t>效力</w:t>
            </w:r>
          </w:p>
          <w:p>
            <w:pPr>
              <w:spacing w:line="300" w:lineRule="exact"/>
              <w:jc w:val="center"/>
              <w:rPr>
                <w:rFonts w:ascii="黑体" w:hAnsi="黑体" w:eastAsia="黑体"/>
                <w:szCs w:val="21"/>
              </w:rPr>
            </w:pPr>
            <w:r>
              <w:rPr>
                <w:rFonts w:ascii="黑体" w:hAnsi="黑体" w:eastAsia="黑体"/>
                <w:szCs w:val="21"/>
              </w:rPr>
              <w:t>层级</w:t>
            </w:r>
          </w:p>
        </w:tc>
        <w:tc>
          <w:tcPr>
            <w:tcW w:w="836" w:type="dxa"/>
            <w:gridSpan w:val="2"/>
            <w:noWrap w:val="0"/>
            <w:vAlign w:val="center"/>
          </w:tcPr>
          <w:p>
            <w:pPr>
              <w:spacing w:line="300" w:lineRule="exact"/>
              <w:jc w:val="center"/>
              <w:rPr>
                <w:rFonts w:ascii="黑体" w:hAnsi="黑体" w:eastAsia="黑体"/>
                <w:szCs w:val="21"/>
              </w:rPr>
            </w:pPr>
            <w:r>
              <w:rPr>
                <w:rFonts w:ascii="黑体" w:hAnsi="黑体" w:eastAsia="黑体"/>
                <w:szCs w:val="21"/>
              </w:rPr>
              <w:t>索要单位</w:t>
            </w:r>
          </w:p>
        </w:tc>
        <w:tc>
          <w:tcPr>
            <w:tcW w:w="1086" w:type="dxa"/>
            <w:gridSpan w:val="2"/>
            <w:noWrap w:val="0"/>
            <w:vAlign w:val="center"/>
          </w:tcPr>
          <w:p>
            <w:pPr>
              <w:spacing w:line="300" w:lineRule="exact"/>
              <w:jc w:val="center"/>
              <w:rPr>
                <w:rFonts w:ascii="黑体" w:hAnsi="黑体" w:eastAsia="黑体"/>
                <w:szCs w:val="21"/>
              </w:rPr>
            </w:pPr>
            <w:r>
              <w:rPr>
                <w:rFonts w:ascii="黑体" w:hAnsi="黑体" w:eastAsia="黑体"/>
                <w:szCs w:val="21"/>
              </w:rPr>
              <w:t>开具</w:t>
            </w:r>
          </w:p>
          <w:p>
            <w:pPr>
              <w:spacing w:line="300" w:lineRule="exact"/>
              <w:jc w:val="center"/>
              <w:rPr>
                <w:rFonts w:ascii="黑体" w:hAnsi="黑体" w:eastAsia="黑体"/>
                <w:szCs w:val="21"/>
              </w:rPr>
            </w:pPr>
            <w:r>
              <w:rPr>
                <w:rFonts w:ascii="黑体" w:hAnsi="黑体" w:eastAsia="黑体"/>
                <w:szCs w:val="21"/>
              </w:rPr>
              <w:t>单位</w:t>
            </w:r>
          </w:p>
        </w:tc>
        <w:tc>
          <w:tcPr>
            <w:tcW w:w="920" w:type="dxa"/>
            <w:gridSpan w:val="2"/>
            <w:noWrap w:val="0"/>
            <w:vAlign w:val="center"/>
          </w:tcPr>
          <w:p>
            <w:pPr>
              <w:spacing w:line="30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557" w:type="dxa"/>
            <w:noWrap w:val="0"/>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w:t>
            </w:r>
          </w:p>
        </w:tc>
        <w:tc>
          <w:tcPr>
            <w:tcW w:w="965" w:type="dxa"/>
            <w:noWrap w:val="0"/>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eastAsia="zh-CN"/>
              </w:rPr>
              <w:t>法律援助（申请类）</w:t>
            </w:r>
          </w:p>
        </w:tc>
        <w:tc>
          <w:tcPr>
            <w:tcW w:w="1120" w:type="dxa"/>
            <w:noWrap w:val="0"/>
            <w:vAlign w:val="center"/>
          </w:tcPr>
          <w:p>
            <w:pPr>
              <w:spacing w:line="300" w:lineRule="exact"/>
              <w:jc w:val="left"/>
              <w:rPr>
                <w:rFonts w:hint="eastAsia" w:ascii="方正书宋_GBK" w:eastAsia="方正书宋_GBK"/>
                <w:szCs w:val="21"/>
                <w:lang w:eastAsia="zh-CN"/>
              </w:rPr>
            </w:pPr>
            <w:r>
              <w:rPr>
                <w:rFonts w:hint="eastAsia" w:ascii="方正书宋_GBK" w:eastAsia="方正书宋_GBK"/>
                <w:szCs w:val="21"/>
                <w:lang w:eastAsia="zh-CN"/>
              </w:rPr>
              <w:t>经济困难的证明</w:t>
            </w:r>
          </w:p>
        </w:tc>
        <w:tc>
          <w:tcPr>
            <w:tcW w:w="721" w:type="dxa"/>
            <w:noWrap w:val="0"/>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eastAsia="zh-CN"/>
              </w:rPr>
              <w:t>申请法律援助</w:t>
            </w:r>
          </w:p>
        </w:tc>
        <w:tc>
          <w:tcPr>
            <w:tcW w:w="4198" w:type="dxa"/>
            <w:gridSpan w:val="2"/>
            <w:noWrap w:val="0"/>
            <w:vAlign w:val="center"/>
          </w:tcPr>
          <w:p>
            <w:pPr>
              <w:spacing w:line="300" w:lineRule="exact"/>
              <w:jc w:val="left"/>
              <w:rPr>
                <w:rFonts w:hint="eastAsia" w:ascii="方正书宋_GBK" w:eastAsia="方正书宋_GBK"/>
                <w:szCs w:val="21"/>
              </w:rPr>
            </w:pPr>
            <w:r>
              <w:rPr>
                <w:rFonts w:hint="eastAsia" w:ascii="方正书宋_GBK" w:eastAsia="方正书宋_GBK"/>
                <w:szCs w:val="21"/>
                <w:lang w:eastAsia="zh-CN"/>
              </w:rPr>
              <w:t>《法律援助条例》（国务院令第</w:t>
            </w:r>
            <w:r>
              <w:rPr>
                <w:rFonts w:hint="eastAsia" w:ascii="方正书宋_GBK" w:eastAsia="方正书宋_GBK"/>
                <w:szCs w:val="21"/>
                <w:lang w:val="en-US" w:eastAsia="zh-CN"/>
              </w:rPr>
              <w:t>385</w:t>
            </w:r>
            <w:r>
              <w:rPr>
                <w:rFonts w:hint="eastAsia" w:ascii="方正书宋_GBK" w:eastAsia="方正书宋_GBK"/>
                <w:szCs w:val="21"/>
                <w:lang w:eastAsia="zh-CN"/>
              </w:rPr>
              <w:t>号）第十七条：公民申请代理、刑事辩护的法律援助应当提交下列证件、证明材料：……（二）经济困难的证明……</w:t>
            </w:r>
          </w:p>
        </w:tc>
        <w:tc>
          <w:tcPr>
            <w:tcW w:w="774" w:type="dxa"/>
            <w:gridSpan w:val="2"/>
            <w:noWrap w:val="0"/>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行政法规</w:t>
            </w:r>
          </w:p>
        </w:tc>
        <w:tc>
          <w:tcPr>
            <w:tcW w:w="836" w:type="dxa"/>
            <w:gridSpan w:val="2"/>
            <w:noWrap w:val="0"/>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eastAsia="zh-CN"/>
              </w:rPr>
              <w:t>法律援助机构</w:t>
            </w:r>
          </w:p>
        </w:tc>
        <w:tc>
          <w:tcPr>
            <w:tcW w:w="108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eastAsia="zh-CN"/>
              </w:rPr>
              <w:t>乡镇人民政府、街道办事处</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公共法律服务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2</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司法鉴定机构负责人变更</w:t>
            </w:r>
          </w:p>
        </w:tc>
        <w:tc>
          <w:tcPr>
            <w:tcW w:w="1120"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机构负责人未受过刑事处分证明</w:t>
            </w:r>
          </w:p>
        </w:tc>
        <w:tc>
          <w:tcPr>
            <w:tcW w:w="721"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执业变更</w:t>
            </w:r>
          </w:p>
        </w:tc>
        <w:tc>
          <w:tcPr>
            <w:tcW w:w="4198"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全国人大常委会《关于司法鉴定管理问题的决定》、司法部第95.96号令、《湖南省司法厅关于规范司法鉴定机构和司法鉴定人登记工作有关要求的通知》湘司发通【2017】12号</w:t>
            </w:r>
            <w:r>
              <w:rPr>
                <w:rFonts w:hint="eastAsia" w:ascii="方正书宋_GBK" w:eastAsia="方正书宋_GBK"/>
                <w:szCs w:val="21"/>
                <w:lang w:eastAsia="zh-CN"/>
              </w:rPr>
              <w:t>（二）司法鉴定机构变更登记2.法定代表人或机构负责人变更（2）拟任法定代表人或机构负责人的下列身份证明材料：</w:t>
            </w:r>
            <w:r>
              <w:rPr>
                <w:rFonts w:hint="eastAsia" w:ascii="方正书宋_GBK" w:eastAsia="方正书宋_GBK"/>
                <w:szCs w:val="21"/>
                <w:lang w:eastAsia="zh-CN"/>
              </w:rPr>
              <w:sym w:font="Wingdings" w:char="F082"/>
            </w:r>
            <w:r>
              <w:rPr>
                <w:rFonts w:hint="eastAsia" w:ascii="方正书宋_GBK" w:eastAsia="方正书宋_GBK"/>
                <w:szCs w:val="21"/>
                <w:lang w:eastAsia="zh-CN"/>
              </w:rPr>
              <w:t>未受过刑事处罚的证明</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公安部门</w:t>
            </w:r>
          </w:p>
        </w:tc>
        <w:tc>
          <w:tcPr>
            <w:tcW w:w="92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3</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司法鉴定机构负责人变更</w:t>
            </w:r>
          </w:p>
        </w:tc>
        <w:tc>
          <w:tcPr>
            <w:tcW w:w="1120"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机构负责人未受过开除公职处分证明</w:t>
            </w:r>
          </w:p>
          <w:p>
            <w:pPr>
              <w:spacing w:line="300" w:lineRule="exact"/>
              <w:jc w:val="center"/>
              <w:rPr>
                <w:rFonts w:hint="default" w:ascii="方正书宋_GBK" w:eastAsia="方正书宋_GBK"/>
                <w:szCs w:val="21"/>
                <w:lang w:val="en-US" w:eastAsia="zh-CN"/>
              </w:rPr>
            </w:pP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执业变更</w:t>
            </w:r>
          </w:p>
        </w:tc>
        <w:tc>
          <w:tcPr>
            <w:tcW w:w="4198" w:type="dxa"/>
            <w:gridSpan w:val="2"/>
            <w:noWrap w:val="0"/>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（二）司法鉴定机构变更登记2.法定代表人或机构负责人变更</w:t>
            </w:r>
          </w:p>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eastAsia="zh-CN"/>
              </w:rPr>
              <w:t>（2）拟任法定代表人或机构负责人的下列身份证明材料：</w:t>
            </w:r>
            <w:r>
              <w:rPr>
                <w:rFonts w:hint="eastAsia" w:ascii="方正书宋_GBK" w:eastAsia="方正书宋_GBK"/>
                <w:szCs w:val="21"/>
                <w:lang w:eastAsia="zh-CN"/>
              </w:rPr>
              <w:sym w:font="Wingdings" w:char="F083"/>
            </w:r>
            <w:r>
              <w:rPr>
                <w:rFonts w:hint="eastAsia" w:ascii="方正书宋_GBK" w:eastAsia="方正书宋_GBK"/>
                <w:szCs w:val="21"/>
                <w:lang w:eastAsia="zh-CN"/>
              </w:rPr>
              <w:t>未受过开除公职处分的证明；</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所在单位</w:t>
            </w:r>
          </w:p>
        </w:tc>
        <w:tc>
          <w:tcPr>
            <w:tcW w:w="92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4</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司法鉴定机构延续登记</w:t>
            </w:r>
          </w:p>
        </w:tc>
        <w:tc>
          <w:tcPr>
            <w:tcW w:w="1120"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eastAsia="zh-CN"/>
              </w:rPr>
              <w:t>住所证明</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w:t>
            </w:r>
          </w:p>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延续</w:t>
            </w:r>
          </w:p>
        </w:tc>
        <w:tc>
          <w:tcPr>
            <w:tcW w:w="4198"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（三）司法鉴定机构延续登记3.住所证明；</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房管部门</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其他行政去权力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5</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司法鉴定机构延续登记</w:t>
            </w:r>
          </w:p>
        </w:tc>
        <w:tc>
          <w:tcPr>
            <w:tcW w:w="1120"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资金证明</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w:t>
            </w:r>
          </w:p>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延续</w:t>
            </w:r>
          </w:p>
        </w:tc>
        <w:tc>
          <w:tcPr>
            <w:tcW w:w="4198"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（三）司法鉴定机构延续登记</w:t>
            </w:r>
            <w:r>
              <w:rPr>
                <w:rFonts w:hint="eastAsia" w:ascii="方正书宋_GBK" w:eastAsia="方正书宋_GBK"/>
                <w:szCs w:val="21"/>
                <w:lang w:val="en-US" w:eastAsia="zh-CN"/>
              </w:rPr>
              <w:t>4.资金证明</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开户银行</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6</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司法鉴定机构延续登记</w:t>
            </w:r>
          </w:p>
        </w:tc>
        <w:tc>
          <w:tcPr>
            <w:tcW w:w="1120"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相关行业资格、资质证明</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w:t>
            </w:r>
          </w:p>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延续</w:t>
            </w:r>
          </w:p>
        </w:tc>
        <w:tc>
          <w:tcPr>
            <w:tcW w:w="4198"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（三）司法鉴定机构延续登记</w:t>
            </w:r>
            <w:r>
              <w:rPr>
                <w:rFonts w:hint="eastAsia" w:ascii="方正书宋_GBK" w:eastAsia="方正书宋_GBK"/>
                <w:szCs w:val="21"/>
                <w:lang w:val="en-US" w:eastAsia="zh-CN"/>
              </w:rPr>
              <w:t>5.相关行业资格、资质证明</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中国司法鉴定科学研究院</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7</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司法鉴定机构延续登记</w:t>
            </w:r>
          </w:p>
        </w:tc>
        <w:tc>
          <w:tcPr>
            <w:tcW w:w="1120"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eastAsia="zh-CN"/>
              </w:rPr>
              <w:t>所配置仪器设备的说明及所有权凭证</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w:t>
            </w:r>
          </w:p>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延续</w:t>
            </w:r>
          </w:p>
        </w:tc>
        <w:tc>
          <w:tcPr>
            <w:tcW w:w="4198"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（三）司法鉴定机构延续登记</w:t>
            </w:r>
            <w:r>
              <w:rPr>
                <w:rFonts w:hint="eastAsia" w:ascii="方正书宋_GBK" w:eastAsia="方正书宋_GBK"/>
                <w:szCs w:val="21"/>
                <w:lang w:val="en-US" w:eastAsia="zh-CN"/>
              </w:rPr>
              <w:t>6.</w:t>
            </w:r>
            <w:r>
              <w:rPr>
                <w:rFonts w:hint="eastAsia" w:ascii="方正书宋_GBK" w:eastAsia="方正书宋_GBK"/>
                <w:szCs w:val="21"/>
                <w:lang w:eastAsia="zh-CN"/>
              </w:rPr>
              <w:t>所配置仪器设备的说明及所有权凭证</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仪器设备生产厂家</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8</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司法鉴定人延续登记</w:t>
            </w:r>
          </w:p>
        </w:tc>
        <w:tc>
          <w:tcPr>
            <w:tcW w:w="1120"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学历证书</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w:t>
            </w:r>
          </w:p>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延续</w:t>
            </w:r>
          </w:p>
        </w:tc>
        <w:tc>
          <w:tcPr>
            <w:tcW w:w="4198" w:type="dxa"/>
            <w:gridSpan w:val="2"/>
            <w:noWrap w:val="0"/>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（七）司法鉴定人延续登记</w:t>
            </w:r>
          </w:p>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eastAsia="zh-CN"/>
              </w:rPr>
              <w:t>3.学历证书；</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毕业学校</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9</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司法鉴定人延续登记</w:t>
            </w:r>
          </w:p>
        </w:tc>
        <w:tc>
          <w:tcPr>
            <w:tcW w:w="1120"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职称证书或行业资格证书</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执业延续</w:t>
            </w:r>
          </w:p>
        </w:tc>
        <w:tc>
          <w:tcPr>
            <w:tcW w:w="4198" w:type="dxa"/>
            <w:gridSpan w:val="2"/>
            <w:noWrap w:val="0"/>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（七）司法鉴定人延续登记</w:t>
            </w:r>
          </w:p>
          <w:p>
            <w:pPr>
              <w:spacing w:line="300" w:lineRule="exact"/>
              <w:jc w:val="center"/>
              <w:rPr>
                <w:rFonts w:hint="eastAsia" w:ascii="方正书宋_GBK" w:eastAsia="方正书宋_GBK"/>
                <w:szCs w:val="21"/>
                <w:lang w:eastAsia="zh-CN"/>
              </w:rPr>
            </w:pPr>
            <w:r>
              <w:rPr>
                <w:rFonts w:hint="eastAsia" w:ascii="方正书宋_GBK" w:eastAsia="方正书宋_GBK"/>
                <w:szCs w:val="21"/>
                <w:lang w:eastAsia="zh-CN"/>
              </w:rPr>
              <w:t>4.专业技术职称证书或行业资格证</w:t>
            </w:r>
          </w:p>
          <w:p>
            <w:pPr>
              <w:spacing w:line="300" w:lineRule="exact"/>
              <w:jc w:val="center"/>
              <w:rPr>
                <w:rFonts w:hint="eastAsia" w:ascii="方正书宋_GBK" w:eastAsia="方正书宋_GBK"/>
                <w:szCs w:val="21"/>
                <w:lang w:val="en-US" w:eastAsia="zh-CN"/>
              </w:rPr>
            </w:pP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省人力资源及社会保障厅</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10</w:t>
            </w:r>
          </w:p>
        </w:tc>
        <w:tc>
          <w:tcPr>
            <w:tcW w:w="965"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司法鉴定人延续登记</w:t>
            </w:r>
          </w:p>
        </w:tc>
        <w:tc>
          <w:tcPr>
            <w:tcW w:w="1120"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满65周岁的体检健康证明</w:t>
            </w:r>
          </w:p>
        </w:tc>
        <w:tc>
          <w:tcPr>
            <w:tcW w:w="721" w:type="dxa"/>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执业延续</w:t>
            </w:r>
          </w:p>
        </w:tc>
        <w:tc>
          <w:tcPr>
            <w:tcW w:w="4198"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全国人大常委会《关于司法鉴定管理问题的决定》、司法部第95、96号令、湘司发通【2017】12号</w:t>
            </w:r>
            <w:r>
              <w:rPr>
                <w:rFonts w:hint="eastAsia" w:ascii="方正书宋_GBK" w:eastAsia="方正书宋_GBK"/>
                <w:szCs w:val="21"/>
                <w:lang w:eastAsia="zh-CN"/>
              </w:rPr>
              <w:t>（七）司法鉴定人延续登记</w:t>
            </w:r>
            <w:r>
              <w:rPr>
                <w:rFonts w:hint="eastAsia" w:ascii="方正书宋_GBK" w:eastAsia="方正书宋_GBK"/>
                <w:szCs w:val="21"/>
                <w:lang w:val="en-US" w:eastAsia="zh-CN"/>
              </w:rPr>
              <w:t xml:space="preserve"> </w:t>
            </w:r>
            <w:r>
              <w:rPr>
                <w:rFonts w:hint="eastAsia" w:ascii="方正书宋_GBK" w:eastAsia="方正书宋_GBK"/>
                <w:szCs w:val="21"/>
                <w:lang w:eastAsia="zh-CN"/>
              </w:rPr>
              <w:t>年满65周岁的，需提交健康体检证明材料。</w:t>
            </w:r>
            <w:r>
              <w:rPr>
                <w:rFonts w:hint="eastAsia" w:ascii="方正书宋_GBK" w:eastAsia="方正书宋_GBK"/>
                <w:szCs w:val="21"/>
                <w:lang w:val="en-US" w:eastAsia="zh-CN"/>
              </w:rPr>
              <w:t xml:space="preserve"> </w:t>
            </w:r>
          </w:p>
        </w:tc>
        <w:tc>
          <w:tcPr>
            <w:tcW w:w="774"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人大决定、部门规章</w:t>
            </w:r>
          </w:p>
        </w:tc>
        <w:tc>
          <w:tcPr>
            <w:tcW w:w="83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司法行政主管部门</w:t>
            </w:r>
          </w:p>
        </w:tc>
        <w:tc>
          <w:tcPr>
            <w:tcW w:w="1086" w:type="dxa"/>
            <w:gridSpan w:val="2"/>
            <w:noWrap w:val="0"/>
            <w:vAlign w:val="center"/>
          </w:tcPr>
          <w:p>
            <w:pPr>
              <w:spacing w:line="300" w:lineRule="exact"/>
              <w:jc w:val="center"/>
              <w:rPr>
                <w:rFonts w:hint="eastAsia" w:ascii="方正书宋_GBK" w:eastAsia="方正书宋_GBK"/>
                <w:szCs w:val="21"/>
                <w:lang w:val="en-US" w:eastAsia="zh-CN"/>
              </w:rPr>
            </w:pPr>
            <w:r>
              <w:rPr>
                <w:rFonts w:hint="eastAsia" w:ascii="方正书宋_GBK" w:eastAsia="方正书宋_GBK"/>
                <w:szCs w:val="21"/>
                <w:lang w:val="en-US" w:eastAsia="zh-CN"/>
              </w:rPr>
              <w:t>市级三甲医院</w:t>
            </w:r>
          </w:p>
        </w:tc>
        <w:tc>
          <w:tcPr>
            <w:tcW w:w="926" w:type="dxa"/>
            <w:gridSpan w:val="2"/>
            <w:noWrap w:val="0"/>
            <w:vAlign w:val="center"/>
          </w:tcPr>
          <w:p>
            <w:pPr>
              <w:spacing w:line="3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11</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未因故意犯罪受过刑事处罚的证明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中华人民共和国律师法》第七条第二项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州公安局</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12</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未曾被开除公职的证明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《中华人民共和国律师法》第七条第三款第三项</w:t>
            </w:r>
          </w:p>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《律师执业管理办法》第九条第三款第三项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工作单位</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13</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未曾被吊销律师、公证员执业证书的证明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《中华人民共和国律师法》第七条第三款第三项</w:t>
            </w:r>
          </w:p>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《律师执业管理办法》第九条第三款第三项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14</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在高等院校、科研机构从事法学教育、研究工作的经历及证明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中华人民共和国律师法》第十二条</w:t>
            </w:r>
          </w:p>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《律师执业管理办法》第十二条</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教育部门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15</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从事法律事务工作2年以上，或者曾担任法官、检察官、律师1年以上的证明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公职律师管理办法》第五条第四款第四项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原工作单位</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16</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未因涉嫌犯罪、司法程序尚未终结，或者涉嫌违纪违规、正在接受审查的证明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公职律师管理办法》第六条第三款第三项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17</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无上一年度公务员年度考核结果被确定为不称职的证明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公职律师管理办法》第六条第四款第四项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工作单位</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18</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未正被列为失信联合惩戒对象的证明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申请律师执业</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公职律师管理办法》第六条第五款第五项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银行系统</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19</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不具有《律师执业管理办法》第21条规定情形的证明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申请律师变更执业机构</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《中华人民共和国律师法》第21条</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20</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与原执业机构解除聘用关系或者合伙关系以及办结业务、档案、财务等交接手续的证明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律师申请注销执业证书</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eastAsia="zh-CN"/>
              </w:rPr>
              <w:t>《</w:t>
            </w:r>
            <w:r>
              <w:rPr>
                <w:rFonts w:hint="eastAsia" w:ascii="方正书宋_GBK" w:eastAsia="方正书宋_GBK"/>
                <w:szCs w:val="21"/>
                <w:lang w:val="en-US" w:eastAsia="zh-CN"/>
              </w:rPr>
              <w:t>中华人民共和国律师法》第十条</w:t>
            </w:r>
          </w:p>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《律师执业管理办法》第二十条第一款第二项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执业机构</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21</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未正在接受司法机关、司法行政机关、律师协会立案调查期间的证明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律师申请注销执业证书</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《律师执业管理办法》第二十一条</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22</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律师事务所（分所）设立、变更、注销许可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设立人具有一定的执业经历，且在申请设立前3年内未受过停止执业处罚的证明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申请设立律师事务所</w:t>
            </w:r>
          </w:p>
        </w:tc>
        <w:tc>
          <w:tcPr>
            <w:tcW w:w="4198" w:type="dxa"/>
            <w:gridSpan w:val="2"/>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《中华人民共和国律师法》第十四条第三款第三项</w:t>
            </w:r>
          </w:p>
          <w:p>
            <w:pPr>
              <w:spacing w:line="300" w:lineRule="exact"/>
              <w:jc w:val="left"/>
              <w:rPr>
                <w:rFonts w:hint="eastAsia" w:ascii="方正书宋_GBK" w:eastAsia="方正书宋_GBK"/>
                <w:szCs w:val="21"/>
                <w:lang w:val="en-US" w:eastAsia="zh-CN"/>
              </w:rPr>
            </w:pP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23</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律师事务所（分所）设立、变更、注销许可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负责人具有3年以上的执业经历，且在担任负责人前3年内未受过停止执业处罚的证明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律师事务所申请设立分所及律师事务所合伙人、负责人变更</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《中华人民共和国律师法》第十九条第一款</w:t>
            </w:r>
          </w:p>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《律师事务所管理办法》第二十八条</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24</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律师事务所（分所）设立、变更、注销许可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申请人符合《律师法》第19条和《律师事务所管理办法》第33条规定条件的证明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律师事务所申请设立分所</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《中华人民共和国律师法》第十九条</w:t>
            </w:r>
          </w:p>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《律师事务所管理办法》第三十三条</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法律、部门规章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557" w:type="dxa"/>
            <w:noWrap w:val="0"/>
            <w:vAlign w:val="center"/>
          </w:tcPr>
          <w:p>
            <w:pPr>
              <w:spacing w:line="300" w:lineRule="exact"/>
              <w:jc w:val="left"/>
              <w:rPr>
                <w:rFonts w:hint="default" w:ascii="方正书宋_GBK" w:eastAsia="方正书宋_GBK"/>
                <w:szCs w:val="21"/>
                <w:lang w:val="en-US" w:eastAsia="zh-CN"/>
              </w:rPr>
            </w:pPr>
            <w:r>
              <w:rPr>
                <w:rFonts w:hint="eastAsia" w:ascii="方正书宋_GBK" w:eastAsia="方正书宋_GBK"/>
                <w:szCs w:val="21"/>
                <w:lang w:val="en-US" w:eastAsia="zh-CN"/>
              </w:rPr>
              <w:t>25</w:t>
            </w:r>
          </w:p>
        </w:tc>
        <w:tc>
          <w:tcPr>
            <w:tcW w:w="965"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律师事务所（分所）设立、变更、注销许可</w:t>
            </w:r>
          </w:p>
        </w:tc>
        <w:tc>
          <w:tcPr>
            <w:tcW w:w="1120"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拟变更的合伙人具有3年以上的执业经历，无受到6个月以上停止执业处罚且处罚期满未逾3年的情形的证明</w:t>
            </w:r>
          </w:p>
        </w:tc>
        <w:tc>
          <w:tcPr>
            <w:tcW w:w="721" w:type="dxa"/>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律师事务所申请变更合伙人</w:t>
            </w:r>
          </w:p>
        </w:tc>
        <w:tc>
          <w:tcPr>
            <w:tcW w:w="4198"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《律师事务所管理办法》第二十八条第二款第一项</w:t>
            </w:r>
          </w:p>
        </w:tc>
        <w:tc>
          <w:tcPr>
            <w:tcW w:w="774"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部门规章</w:t>
            </w:r>
          </w:p>
        </w:tc>
        <w:tc>
          <w:tcPr>
            <w:tcW w:w="83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108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司法行政部门</w:t>
            </w:r>
          </w:p>
        </w:tc>
        <w:tc>
          <w:tcPr>
            <w:tcW w:w="926" w:type="dxa"/>
            <w:gridSpan w:val="2"/>
            <w:noWrap w:val="0"/>
            <w:vAlign w:val="center"/>
          </w:tcPr>
          <w:p>
            <w:pPr>
              <w:spacing w:line="300" w:lineRule="exact"/>
              <w:jc w:val="left"/>
              <w:rPr>
                <w:rFonts w:hint="eastAsia" w:ascii="方正书宋_GBK" w:eastAsia="方正书宋_GBK"/>
                <w:szCs w:val="21"/>
                <w:lang w:val="en-US" w:eastAsia="zh-CN"/>
              </w:rPr>
            </w:pPr>
            <w:r>
              <w:rPr>
                <w:rFonts w:hint="eastAsia" w:ascii="方正书宋_GBK" w:eastAsia="方正书宋_GBK"/>
                <w:szCs w:val="21"/>
                <w:lang w:val="en-US" w:eastAsia="zh-CN"/>
              </w:rPr>
              <w:t>行政许可</w:t>
            </w:r>
          </w:p>
        </w:tc>
      </w:tr>
    </w:tbl>
    <w:p/>
    <w:sectPr>
      <w:headerReference r:id="rId3" w:type="default"/>
      <w:footerReference r:id="rId4"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- 15 -</w:t>
                          </w:r>
                          <w:r>
                            <w:rPr>
                              <w:rFonts w:hint="eastAsia" w:ascii="仿宋_GB2312" w:hAnsi="仿宋_GB2312" w:eastAsia="仿宋_GB2312" w:cs="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- 15 -</w:t>
                    </w:r>
                    <w:r>
                      <w:rPr>
                        <w:rFonts w:hint="eastAsia" w:ascii="仿宋_GB2312" w:hAnsi="仿宋_GB2312" w:eastAsia="仿宋_GB2312" w:cs="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C1E3B"/>
    <w:rsid w:val="13BF1C01"/>
    <w:rsid w:val="190675DD"/>
    <w:rsid w:val="1E42652D"/>
    <w:rsid w:val="2B4775A3"/>
    <w:rsid w:val="2FFE2BFB"/>
    <w:rsid w:val="357159BF"/>
    <w:rsid w:val="36F210A5"/>
    <w:rsid w:val="3AFF66AD"/>
    <w:rsid w:val="46AF3B8B"/>
    <w:rsid w:val="49AA4B61"/>
    <w:rsid w:val="4B5C64F5"/>
    <w:rsid w:val="4DFE21D4"/>
    <w:rsid w:val="4E9B09BA"/>
    <w:rsid w:val="54AC1E3B"/>
    <w:rsid w:val="5924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1">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2021-04-15T03:54:00Z</dcterms:created>
  <dc:creator>muskmelon:)</dc:creator>
  <cp:lastModifiedBy>冰雪</cp:lastModifiedBy>
  <dcterms:modified xsi:type="dcterms:W3CDTF">2021-06-09T09:26:20Z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C96989ECCEA34811928A514CBBC7BFB1</vt:lpwstr>
  </property>
</Properties>
</file>