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_GBK"/>
          <w:bCs/>
          <w:kern w:val="0"/>
          <w:sz w:val="44"/>
          <w:szCs w:val="44"/>
        </w:rPr>
      </w:pPr>
      <w:r>
        <w:rPr>
          <w:rFonts w:hint="eastAsia" w:ascii="方正粗黑宋简体" w:hAnsi="方正粗黑宋简体" w:eastAsia="方正粗黑宋简体" w:cs="方正粗黑宋简体"/>
          <w:sz w:val="44"/>
          <w:szCs w:val="44"/>
        </w:rPr>
        <w:t xml:space="preserve"> </w:t>
      </w:r>
      <w:r>
        <w:rPr>
          <w:rFonts w:hint="eastAsia" w:ascii="方正粗黑宋简体" w:hAnsi="方正粗黑宋简体" w:eastAsia="方正粗黑宋简体" w:cs="方正粗黑宋简体"/>
          <w:sz w:val="44"/>
          <w:szCs w:val="44"/>
          <w:lang w:val="en-US" w:eastAsia="zh-CN"/>
        </w:rPr>
        <w:t>2018</w:t>
      </w:r>
      <w:r>
        <w:rPr>
          <w:rFonts w:hint="eastAsia" w:ascii="方正粗黑宋简体" w:hAnsi="方正粗黑宋简体" w:eastAsia="方正粗黑宋简体" w:cs="方正粗黑宋简体"/>
          <w:bCs/>
          <w:kern w:val="0"/>
          <w:sz w:val="44"/>
          <w:szCs w:val="44"/>
        </w:rPr>
        <w:t>年</w:t>
      </w:r>
      <w:r>
        <w:rPr>
          <w:rFonts w:hint="eastAsia" w:ascii="方正粗黑宋简体" w:hAnsi="方正粗黑宋简体" w:eastAsia="方正粗黑宋简体" w:cs="方正粗黑宋简体"/>
          <w:bCs/>
          <w:kern w:val="0"/>
          <w:sz w:val="44"/>
          <w:szCs w:val="44"/>
          <w:lang w:eastAsia="zh-CN"/>
        </w:rPr>
        <w:t>州司法局</w:t>
      </w:r>
      <w:r>
        <w:rPr>
          <w:rFonts w:hint="eastAsia" w:ascii="方正粗黑宋简体" w:hAnsi="方正粗黑宋简体" w:eastAsia="方正粗黑宋简体" w:cs="方正粗黑宋简体"/>
          <w:bCs/>
          <w:kern w:val="0"/>
          <w:sz w:val="44"/>
          <w:szCs w:val="44"/>
        </w:rPr>
        <w:t>部门决算</w:t>
      </w:r>
    </w:p>
    <w:p>
      <w:pPr>
        <w:widowControl/>
        <w:spacing w:line="600" w:lineRule="exact"/>
        <w:jc w:val="center"/>
        <w:rPr>
          <w:rFonts w:eastAsia="楷体_GB2312"/>
          <w:bCs/>
          <w:kern w:val="0"/>
          <w:sz w:val="32"/>
          <w:szCs w:val="32"/>
        </w:rPr>
      </w:pPr>
    </w:p>
    <w:p>
      <w:pPr>
        <w:widowControl/>
        <w:spacing w:line="600" w:lineRule="exact"/>
        <w:jc w:val="center"/>
        <w:rPr>
          <w:rFonts w:hint="eastAsia" w:ascii="黑体" w:hAnsi="黑体" w:eastAsia="黑体" w:cs="黑体"/>
          <w:b/>
          <w:bCs w:val="0"/>
          <w:kern w:val="0"/>
          <w:sz w:val="32"/>
          <w:szCs w:val="32"/>
        </w:rPr>
      </w:pPr>
      <w:r>
        <w:rPr>
          <w:rFonts w:hint="eastAsia" w:ascii="黑体" w:hAnsi="黑体" w:eastAsia="黑体" w:cs="黑体"/>
          <w:b/>
          <w:bCs w:val="0"/>
          <w:kern w:val="0"/>
          <w:sz w:val="32"/>
          <w:szCs w:val="32"/>
        </w:rPr>
        <w:t>目</w:t>
      </w:r>
      <w:r>
        <w:rPr>
          <w:rFonts w:hint="eastAsia" w:ascii="黑体" w:hAnsi="黑体" w:eastAsia="黑体" w:cs="黑体"/>
          <w:b/>
          <w:bCs w:val="0"/>
          <w:kern w:val="0"/>
          <w:sz w:val="32"/>
          <w:szCs w:val="32"/>
          <w:lang w:val="en-US" w:eastAsia="zh-CN"/>
        </w:rPr>
        <w:t xml:space="preserve"> </w:t>
      </w:r>
      <w:r>
        <w:rPr>
          <w:rFonts w:hint="eastAsia" w:ascii="黑体" w:hAnsi="黑体" w:eastAsia="黑体" w:cs="黑体"/>
          <w:b/>
          <w:bCs w:val="0"/>
          <w:kern w:val="0"/>
          <w:sz w:val="32"/>
          <w:szCs w:val="32"/>
        </w:rPr>
        <w:t xml:space="preserve"> 录</w:t>
      </w:r>
    </w:p>
    <w:p>
      <w:pPr>
        <w:widowControl/>
        <w:spacing w:line="600" w:lineRule="exact"/>
        <w:jc w:val="center"/>
        <w:rPr>
          <w:rFonts w:hint="eastAsia" w:ascii="黑体" w:hAnsi="黑体" w:eastAsia="黑体" w:cs="黑体"/>
          <w:bCs/>
          <w:kern w:val="0"/>
          <w:sz w:val="32"/>
          <w:szCs w:val="32"/>
        </w:rPr>
      </w:pPr>
    </w:p>
    <w:p>
      <w:pPr>
        <w:widowControl/>
        <w:spacing w:line="600" w:lineRule="exact"/>
        <w:ind w:firstLine="643" w:firstLineChars="200"/>
        <w:rPr>
          <w:rFonts w:eastAsia="仿宋_GB2312"/>
          <w:b/>
          <w:bCs/>
          <w:kern w:val="0"/>
          <w:sz w:val="32"/>
          <w:szCs w:val="32"/>
        </w:rPr>
      </w:pPr>
      <w:r>
        <w:rPr>
          <w:rFonts w:eastAsia="仿宋_GB2312"/>
          <w:b/>
          <w:bCs/>
          <w:kern w:val="0"/>
          <w:sz w:val="32"/>
          <w:szCs w:val="32"/>
        </w:rPr>
        <w:t xml:space="preserve">第一部分 </w:t>
      </w:r>
      <w:r>
        <w:rPr>
          <w:rFonts w:hint="eastAsia" w:eastAsia="仿宋_GB2312"/>
          <w:b/>
          <w:bCs/>
          <w:kern w:val="0"/>
          <w:sz w:val="32"/>
          <w:szCs w:val="32"/>
          <w:lang w:eastAsia="zh-CN"/>
        </w:rPr>
        <w:t>州司法局</w:t>
      </w:r>
      <w:r>
        <w:rPr>
          <w:rFonts w:eastAsia="仿宋_GB2312"/>
          <w:b/>
          <w:bCs/>
          <w:kern w:val="0"/>
          <w:sz w:val="32"/>
          <w:szCs w:val="32"/>
        </w:rPr>
        <w:t>部门概况</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1、部门职责</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2、机构设置</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第二部分</w:t>
      </w:r>
      <w:r>
        <w:rPr>
          <w:rFonts w:hint="eastAsia" w:eastAsia="仿宋_GB2312"/>
          <w:b/>
          <w:bCs/>
          <w:kern w:val="0"/>
          <w:sz w:val="32"/>
          <w:szCs w:val="32"/>
        </w:rPr>
        <w:t xml:space="preserve"> </w:t>
      </w:r>
      <w:r>
        <w:rPr>
          <w:rFonts w:eastAsia="仿宋_GB2312"/>
          <w:b/>
          <w:bCs/>
          <w:kern w:val="0"/>
          <w:sz w:val="32"/>
          <w:szCs w:val="32"/>
        </w:rPr>
        <w:t>部门决算表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部门收支</w:t>
      </w:r>
      <w:r>
        <w:rPr>
          <w:rFonts w:ascii="Times New Roman" w:hAnsi="Times New Roman" w:eastAsia="仿宋_GB2312" w:cs="Times New Roman"/>
          <w:sz w:val="32"/>
          <w:szCs w:val="32"/>
        </w:rPr>
        <w:t>决算总表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收入决算表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4、财政拨款</w:t>
      </w:r>
      <w:r>
        <w:rPr>
          <w:rFonts w:hint="eastAsia" w:ascii="Times New Roman" w:hAnsi="Times New Roman" w:eastAsia="仿宋_GB2312" w:cs="Times New Roman"/>
          <w:sz w:val="32"/>
          <w:szCs w:val="32"/>
        </w:rPr>
        <w:t>收支</w:t>
      </w:r>
      <w:r>
        <w:rPr>
          <w:rFonts w:ascii="Times New Roman" w:hAnsi="Times New Roman" w:eastAsia="仿宋_GB2312" w:cs="Times New Roman"/>
          <w:sz w:val="32"/>
          <w:szCs w:val="32"/>
        </w:rPr>
        <w:t>决算总表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5、一般公共预算财政拨款支出决算表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6、一般公共预算财政拨款基本支出决算表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7、一般公共预算财政拨款“三公”经费支出决算表</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8、政府性基金预算财政拨款收入支出决算表</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第三部分</w:t>
      </w:r>
      <w:r>
        <w:rPr>
          <w:rFonts w:hint="eastAsia" w:eastAsia="仿宋_GB2312"/>
          <w:b/>
          <w:bCs/>
          <w:kern w:val="0"/>
          <w:sz w:val="32"/>
          <w:szCs w:val="32"/>
        </w:rPr>
        <w:t xml:space="preserve"> </w:t>
      </w:r>
      <w:r>
        <w:rPr>
          <w:rFonts w:hint="eastAsia" w:eastAsia="仿宋_GB2312"/>
          <w:b/>
          <w:bCs/>
          <w:kern w:val="0"/>
          <w:sz w:val="32"/>
          <w:szCs w:val="32"/>
          <w:lang w:val="en-US" w:eastAsia="zh-CN"/>
        </w:rPr>
        <w:t>2018</w:t>
      </w:r>
      <w:r>
        <w:rPr>
          <w:rFonts w:eastAsia="仿宋_GB2312"/>
          <w:b/>
          <w:bCs/>
          <w:kern w:val="0"/>
          <w:sz w:val="32"/>
          <w:szCs w:val="32"/>
        </w:rPr>
        <w:t>年度部门决算情况说明</w:t>
      </w:r>
    </w:p>
    <w:p>
      <w:pPr>
        <w:pStyle w:val="8"/>
        <w:spacing w:line="600" w:lineRule="exact"/>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1、收入支出决算总体情况说明</w:t>
      </w:r>
    </w:p>
    <w:p>
      <w:pPr>
        <w:spacing w:line="600" w:lineRule="exact"/>
        <w:ind w:firstLine="800" w:firstLineChars="250"/>
        <w:jc w:val="left"/>
        <w:rPr>
          <w:rFonts w:eastAsia="仿宋_GB2312"/>
          <w:sz w:val="32"/>
          <w:szCs w:val="32"/>
        </w:rPr>
      </w:pPr>
      <w:r>
        <w:rPr>
          <w:rFonts w:eastAsia="仿宋_GB2312"/>
          <w:sz w:val="32"/>
          <w:szCs w:val="32"/>
        </w:rPr>
        <w:t>2、收入决算情况说明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3、支出决算情况说明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4、财政拨款收入支出决算总体情况说明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5、一般公共预算财政拨款支出决算情况说明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6、一般公共预算财政拨款基本支出决算情况说明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7、一般公共预算财政拨款三公经费支出决算情况说明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8、政府性基金预算收入支出决算情况</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9、预算绩效情况说明</w:t>
      </w:r>
    </w:p>
    <w:p>
      <w:pPr>
        <w:autoSpaceDE w:val="0"/>
        <w:autoSpaceDN w:val="0"/>
        <w:adjustRightInd w:val="0"/>
        <w:spacing w:line="600" w:lineRule="exact"/>
        <w:ind w:firstLine="800" w:firstLineChars="250"/>
        <w:jc w:val="left"/>
        <w:rPr>
          <w:rFonts w:eastAsia="仿宋_GB2312"/>
          <w:color w:val="000000"/>
          <w:kern w:val="0"/>
          <w:sz w:val="32"/>
          <w:szCs w:val="32"/>
        </w:rPr>
      </w:pPr>
      <w:r>
        <w:rPr>
          <w:rFonts w:eastAsia="仿宋_GB2312"/>
          <w:color w:val="000000"/>
          <w:kern w:val="0"/>
          <w:sz w:val="32"/>
          <w:szCs w:val="32"/>
        </w:rPr>
        <w:t>10、其他重要事项情况说明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第四部分</w:t>
      </w:r>
      <w:r>
        <w:rPr>
          <w:rFonts w:hint="eastAsia" w:eastAsia="仿宋_GB2312"/>
          <w:b/>
          <w:bCs/>
          <w:kern w:val="0"/>
          <w:sz w:val="32"/>
          <w:szCs w:val="32"/>
        </w:rPr>
        <w:t xml:space="preserve"> </w:t>
      </w:r>
      <w:r>
        <w:rPr>
          <w:rFonts w:eastAsia="仿宋_GB2312"/>
          <w:b/>
          <w:bCs/>
          <w:kern w:val="0"/>
          <w:sz w:val="32"/>
          <w:szCs w:val="32"/>
        </w:rPr>
        <w:t>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第五部分</w:t>
      </w:r>
      <w:r>
        <w:rPr>
          <w:rFonts w:hint="eastAsia" w:eastAsia="仿宋_GB2312"/>
          <w:b/>
          <w:bCs/>
          <w:kern w:val="0"/>
          <w:sz w:val="32"/>
          <w:szCs w:val="32"/>
        </w:rPr>
        <w:t xml:space="preserve"> </w:t>
      </w:r>
      <w:r>
        <w:rPr>
          <w:rFonts w:eastAsia="仿宋_GB2312"/>
          <w:b/>
          <w:bCs/>
          <w:kern w:val="0"/>
          <w:sz w:val="32"/>
          <w:szCs w:val="32"/>
        </w:rPr>
        <w:t>附件</w:t>
      </w:r>
    </w:p>
    <w:p>
      <w:pPr>
        <w:widowControl/>
        <w:spacing w:line="600" w:lineRule="exact"/>
        <w:ind w:firstLine="643" w:firstLineChars="200"/>
        <w:jc w:val="left"/>
        <w:rPr>
          <w:rFonts w:hint="eastAsia" w:eastAsia="仿宋_GB2312"/>
          <w:b/>
          <w:bCs/>
          <w:kern w:val="0"/>
          <w:sz w:val="32"/>
          <w:szCs w:val="3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p>
    <w:p>
      <w:pPr>
        <w:rPr>
          <w:rFonts w:hint="eastAsia"/>
          <w:sz w:val="72"/>
          <w:szCs w:val="72"/>
        </w:rPr>
      </w:pPr>
    </w:p>
    <w:p>
      <w:pPr>
        <w:rPr>
          <w:rFonts w:hint="eastAsia"/>
          <w:sz w:val="72"/>
          <w:szCs w:val="72"/>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p>
    <w:p>
      <w:pPr>
        <w:widowControl/>
        <w:spacing w:line="600" w:lineRule="exact"/>
        <w:jc w:val="center"/>
        <w:rPr>
          <w:rFonts w:hint="eastAsia" w:eastAsia="方正小标宋_GBK"/>
          <w:bCs/>
          <w:kern w:val="0"/>
          <w:sz w:val="36"/>
          <w:szCs w:val="36"/>
        </w:rPr>
      </w:pPr>
      <w:r>
        <w:rPr>
          <w:rFonts w:hint="eastAsia" w:eastAsia="方正小标宋_GBK"/>
          <w:bCs/>
          <w:kern w:val="0"/>
          <w:sz w:val="36"/>
          <w:szCs w:val="36"/>
        </w:rPr>
        <w:t xml:space="preserve">第一部分 </w:t>
      </w:r>
      <w:r>
        <w:rPr>
          <w:rFonts w:hint="eastAsia" w:eastAsia="方正小标宋_GBK"/>
          <w:bCs/>
          <w:kern w:val="0"/>
          <w:sz w:val="36"/>
          <w:szCs w:val="36"/>
          <w:lang w:eastAsia="zh-CN"/>
        </w:rPr>
        <w:t>州司法局</w:t>
      </w:r>
      <w:r>
        <w:rPr>
          <w:rFonts w:hint="eastAsia" w:eastAsia="方正小标宋_GBK"/>
          <w:bCs/>
          <w:kern w:val="0"/>
          <w:sz w:val="36"/>
          <w:szCs w:val="36"/>
        </w:rPr>
        <w:t>部门概况</w:t>
      </w:r>
    </w:p>
    <w:p>
      <w:pPr>
        <w:pStyle w:val="9"/>
        <w:ind w:firstLine="0" w:firstLineChars="0"/>
        <w:jc w:val="left"/>
        <w:rPr>
          <w:rFonts w:ascii="黑体" w:hAnsi="黑体" w:eastAsia="黑体"/>
          <w:sz w:val="32"/>
          <w:szCs w:val="32"/>
        </w:rPr>
      </w:pPr>
    </w:p>
    <w:p>
      <w:pPr>
        <w:widowControl/>
        <w:spacing w:line="600" w:lineRule="exact"/>
        <w:ind w:firstLine="640" w:firstLineChars="200"/>
        <w:rPr>
          <w:rFonts w:hint="eastAsia" w:ascii="黑体" w:hAnsi="黑体" w:eastAsia="黑体"/>
          <w:bCs/>
          <w:kern w:val="0"/>
          <w:sz w:val="32"/>
          <w:szCs w:val="32"/>
        </w:rPr>
      </w:pPr>
      <w:r>
        <w:rPr>
          <w:rFonts w:hint="eastAsia" w:ascii="黑体" w:hAnsi="黑体" w:eastAsia="黑体"/>
          <w:bCs/>
          <w:kern w:val="0"/>
          <w:sz w:val="32"/>
          <w:szCs w:val="32"/>
        </w:rPr>
        <w:t>一、部门职责</w:t>
      </w:r>
    </w:p>
    <w:p>
      <w:pPr>
        <w:ind w:firstLine="321" w:firstLineChars="100"/>
        <w:rPr>
          <w:rFonts w:hint="eastAsia" w:ascii="宋体" w:hAnsi="宋体" w:cs="宋体"/>
          <w:sz w:val="30"/>
          <w:szCs w:val="30"/>
        </w:rPr>
      </w:pPr>
      <w:r>
        <w:rPr>
          <w:rFonts w:hint="eastAsia" w:ascii="仿宋" w:hAnsi="仿宋" w:eastAsia="仿宋" w:cs="仿宋"/>
          <w:b/>
          <w:bCs/>
          <w:kern w:val="0"/>
          <w:sz w:val="32"/>
          <w:szCs w:val="32"/>
        </w:rPr>
        <w:t>（一）</w:t>
      </w:r>
      <w:r>
        <w:rPr>
          <w:rFonts w:hint="eastAsia" w:ascii="仿宋" w:hAnsi="仿宋" w:eastAsia="仿宋" w:cs="仿宋"/>
          <w:b/>
          <w:bCs/>
          <w:sz w:val="32"/>
          <w:szCs w:val="32"/>
        </w:rPr>
        <w:t>州司法局主要职责</w:t>
      </w:r>
      <w:r>
        <w:rPr>
          <w:rFonts w:hint="eastAsia" w:ascii="宋体" w:hAnsi="宋体" w:cs="宋体"/>
          <w:sz w:val="30"/>
          <w:szCs w:val="30"/>
        </w:rPr>
        <w:t xml:space="preserve">               </w:t>
      </w:r>
    </w:p>
    <w:p>
      <w:pPr>
        <w:rPr>
          <w:rFonts w:hint="eastAsia" w:ascii="仿宋" w:hAnsi="仿宋" w:eastAsia="仿宋" w:cs="仿宋"/>
          <w:sz w:val="32"/>
          <w:szCs w:val="32"/>
        </w:rPr>
      </w:pPr>
      <w:r>
        <w:rPr>
          <w:rFonts w:hint="eastAsia" w:ascii="宋体" w:hAnsi="宋体" w:cs="宋体"/>
          <w:sz w:val="30"/>
          <w:szCs w:val="30"/>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w:t>
      </w:r>
      <w:r>
        <w:rPr>
          <w:rFonts w:hint="eastAsia" w:ascii="仿宋" w:hAnsi="仿宋" w:eastAsia="仿宋" w:cs="仿宋"/>
          <w:sz w:val="32"/>
          <w:szCs w:val="32"/>
        </w:rPr>
        <w:t>贯彻执行国家有关司法行政工作的方针、政策、法规，编制全州司法行政工作发展规划和年度计划，并实施监督。</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起草有关地方性法规、规章草案；组织实施司法行政方面的法律、法规和规章；指导司法行政系统的对外交流工作。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监督管理吉首监狱刑罚执行、改造罪犯的工作；管理吉首监狱。</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指导管理全州强制隔离戒毒工作；指导监督全州社区戒毒（康复）工作；管理州强制隔离戒毒所。</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指导全州普法依法治理工作；参与社会治安综合治理工作。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负责指导监督全州律师工作和公证工作，并承担相应责任；负责管理公证机构。</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7、</w:t>
      </w:r>
      <w:r>
        <w:rPr>
          <w:rFonts w:hint="eastAsia" w:ascii="仿宋" w:hAnsi="仿宋" w:eastAsia="仿宋" w:cs="仿宋"/>
          <w:sz w:val="32"/>
          <w:szCs w:val="32"/>
        </w:rPr>
        <w:t>指导监督基层司法所建设和人民调解、社区矫正、基层法律服务和帮教安置工作。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8、</w:t>
      </w:r>
      <w:r>
        <w:rPr>
          <w:rFonts w:hint="eastAsia" w:ascii="仿宋" w:hAnsi="仿宋" w:eastAsia="仿宋" w:cs="仿宋"/>
          <w:sz w:val="32"/>
          <w:szCs w:val="32"/>
        </w:rPr>
        <w:t>监督管理全州法律援助工作。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9、</w:t>
      </w:r>
      <w:r>
        <w:rPr>
          <w:rFonts w:hint="eastAsia" w:ascii="仿宋" w:hAnsi="仿宋" w:eastAsia="仿宋" w:cs="仿宋"/>
          <w:sz w:val="32"/>
          <w:szCs w:val="32"/>
        </w:rPr>
        <w:t>负责组织实施全州国家司法考试工作。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10、</w:t>
      </w:r>
      <w:r>
        <w:rPr>
          <w:rFonts w:hint="eastAsia" w:ascii="仿宋" w:hAnsi="仿宋" w:eastAsia="仿宋" w:cs="仿宋"/>
          <w:sz w:val="32"/>
          <w:szCs w:val="32"/>
        </w:rPr>
        <w:t>指导管理全州司法鉴定工作。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11、</w:t>
      </w:r>
      <w:r>
        <w:rPr>
          <w:rFonts w:hint="eastAsia" w:ascii="仿宋" w:hAnsi="仿宋" w:eastAsia="仿宋" w:cs="仿宋"/>
          <w:sz w:val="32"/>
          <w:szCs w:val="32"/>
        </w:rPr>
        <w:t>指导管理全州司法行政系统计划财务及枪支、弹药、服装和警车管理工作。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12、</w:t>
      </w:r>
      <w:r>
        <w:rPr>
          <w:rFonts w:hint="eastAsia" w:ascii="仿宋" w:hAnsi="仿宋" w:eastAsia="仿宋" w:cs="仿宋"/>
          <w:sz w:val="32"/>
          <w:szCs w:val="32"/>
        </w:rPr>
        <w:t>指导司法行政系统队伍建设、党组织建设和思想政治工作；指导管理司法行政系统的教育培训、考核奖励和警务工作；协助县市管理司法局领导干部。</w:t>
      </w:r>
    </w:p>
    <w:p>
      <w:pPr>
        <w:ind w:firstLine="560"/>
        <w:rPr>
          <w:rFonts w:hint="eastAsia" w:ascii="仿宋" w:hAnsi="仿宋" w:eastAsia="仿宋" w:cs="仿宋"/>
          <w:b/>
          <w:bCs/>
          <w:kern w:val="0"/>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承办州人民政府交办的其他事项。</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3" w:firstLineChars="200"/>
        <w:jc w:val="left"/>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（二）</w:t>
      </w:r>
      <w:r>
        <w:rPr>
          <w:rFonts w:hint="eastAsia" w:ascii="仿宋" w:hAnsi="仿宋" w:eastAsia="仿宋" w:cs="仿宋"/>
          <w:b/>
          <w:bCs/>
          <w:kern w:val="0"/>
          <w:sz w:val="32"/>
          <w:szCs w:val="32"/>
          <w:lang w:eastAsia="zh-CN"/>
        </w:rPr>
        <w:t>州法制办主要职责</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0" w:firstLineChars="200"/>
        <w:jc w:val="left"/>
        <w:textAlignment w:val="auto"/>
        <w:rPr>
          <w:rFonts w:hint="eastAsia" w:ascii="仿宋" w:hAnsi="仿宋" w:eastAsia="仿宋" w:cs="仿宋"/>
          <w:i w:val="0"/>
          <w:caps w:val="0"/>
          <w:color w:val="000000"/>
          <w:spacing w:val="-11"/>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统筹规划全州推进依法行政工作的责任；承担统筹规划州政府立法工作的责任；指导全州规范性文件管理工作；会同有关部门依法指导有关行政执法监督工作和推行行政执法责任制有关工作；会同有关部门指导全州行政执法证件管理和全州行政执法队伍建设有关工作；会同有关部门推进全州行政执法体制改革工作；指导、监督全州行政复议、应诉的有关工作；负责全州政府法制工作人员的业务培训；承担</w:t>
      </w:r>
      <w:r>
        <w:rPr>
          <w:rFonts w:hint="eastAsia" w:ascii="仿宋" w:hAnsi="仿宋" w:eastAsia="仿宋" w:cs="仿宋"/>
          <w:i w:val="0"/>
          <w:caps w:val="0"/>
          <w:color w:val="000000"/>
          <w:spacing w:val="-11"/>
          <w:kern w:val="0"/>
          <w:sz w:val="32"/>
          <w:szCs w:val="32"/>
          <w:lang w:val="en-US" w:eastAsia="zh-CN" w:bidi="ar"/>
        </w:rPr>
        <w:t>州人民政府法律顾问工作；受州人民政府委托，联系仲裁工作。</w:t>
      </w:r>
    </w:p>
    <w:p>
      <w:pPr>
        <w:ind w:firstLine="640"/>
        <w:rPr>
          <w:rFonts w:hint="eastAsia" w:ascii="仿宋" w:hAnsi="仿宋" w:eastAsia="仿宋" w:cs="仿宋"/>
          <w:sz w:val="32"/>
          <w:szCs w:val="32"/>
        </w:rPr>
      </w:pPr>
      <w:r>
        <w:rPr>
          <w:rFonts w:hint="eastAsia" w:ascii="仿宋" w:hAnsi="仿宋" w:eastAsia="仿宋" w:cs="仿宋"/>
          <w:b/>
          <w:bCs/>
          <w:i w:val="0"/>
          <w:caps w:val="0"/>
          <w:color w:val="000000"/>
          <w:spacing w:val="-11"/>
          <w:kern w:val="0"/>
          <w:sz w:val="32"/>
          <w:szCs w:val="32"/>
          <w:lang w:val="en-US" w:eastAsia="zh-CN" w:bidi="ar"/>
        </w:rPr>
        <w:t>（三）</w:t>
      </w:r>
      <w:r>
        <w:rPr>
          <w:rFonts w:hint="eastAsia" w:ascii="仿宋" w:hAnsi="仿宋" w:eastAsia="仿宋" w:cs="仿宋"/>
          <w:b/>
          <w:bCs/>
          <w:sz w:val="32"/>
          <w:szCs w:val="32"/>
        </w:rPr>
        <w:t>吉首监狱部门主要职责</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贯彻执行国家的法律、法规和有关监狱行政工作的方针、政策，制订各项工作计划并组织实施。</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依法管理监狱，对判处有期徒刑的罪犯执行刑罚，实施处罚和改造。</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分析研究及时掌握狱情动态，预防、处置突发事件，确保监管场所安全，维护社会稳定。</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严格管理监狱人民警察，实施纪律监察，组织开展各类政治、业务学习和培训，加强队伍建设，负责监狱干警的警衔、奖惩、任免、考核、劳资等管理工作。</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完成州人民政府、州司法局、和省司法厅、监狱管理局交办的其他工作。</w:t>
      </w:r>
    </w:p>
    <w:p>
      <w:pPr>
        <w:ind w:firstLine="449" w:firstLineChars="150"/>
        <w:rPr>
          <w:rFonts w:hint="eastAsia" w:ascii="仿宋" w:hAnsi="仿宋" w:eastAsia="仿宋" w:cs="仿宋"/>
          <w:b/>
          <w:bCs/>
          <w:sz w:val="32"/>
          <w:szCs w:val="32"/>
        </w:rPr>
      </w:pPr>
      <w:r>
        <w:rPr>
          <w:rFonts w:hint="eastAsia" w:ascii="仿宋" w:hAnsi="仿宋" w:eastAsia="仿宋" w:cs="仿宋"/>
          <w:b/>
          <w:bCs/>
          <w:i w:val="0"/>
          <w:caps w:val="0"/>
          <w:color w:val="000000"/>
          <w:spacing w:val="-11"/>
          <w:kern w:val="0"/>
          <w:sz w:val="32"/>
          <w:szCs w:val="32"/>
          <w:lang w:val="en-US" w:eastAsia="zh-CN" w:bidi="ar"/>
        </w:rPr>
        <w:t>（四）</w:t>
      </w:r>
      <w:r>
        <w:rPr>
          <w:rFonts w:hint="eastAsia" w:ascii="仿宋" w:hAnsi="仿宋" w:eastAsia="仿宋" w:cs="仿宋"/>
          <w:b/>
          <w:bCs/>
          <w:sz w:val="32"/>
          <w:szCs w:val="32"/>
        </w:rPr>
        <w:t>州强戒所主要职责</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贯彻执行国家戒毒工作的法律法规及方针政策；严格收治强制隔离戒毒人员的程序、手续和条件，依法妥善处理强制隔离戒毒人员在强制隔离戒毒过程中存在和发生的各种问题；按期办理解除强制隔离戒毒手续。</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2、搞好强制隔离戒毒人员的日常活动管理。维护强制隔离戒毒场所秩序，防止强制隔离戒毒人员脱逃、犯罪、非正常死亡等重大事故发生，保证强制隔离戒毒各项工作正常进行。</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3、依法为强制隔离戒毒人员提供科学规范的戒毒治疗、心理治疗、身体康复训练和卫生、道德、法制教育；根据戒毒需要，组织戒毒人员参加必要的生产劳动（习艺劳动），对戒毒人员进行职业技能培训。</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4、根据强制隔离戒毒人员的性别、年龄、患病等情况对强制隔离戒毒人员实行分别管理；对吸食不同种类毒品的，有针对性地采取必要的治疗措施；根据戒毒治疗的不同阶段和强制隔离戒毒人员的表现，实行逐步适应社会的分级管理。</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5、依法对执行强制隔离戒毒一年后和强制隔离戒毒期满前的戒毒人员进行诊断评估，根据诊断评估结果向强制隔离戒毒决定机关提出提前、按期、延期解除强制隔离戒毒的意见。</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6、依法对戒毒康复的管理教育及对社区戒毒、社区康复工作提供指导和支持。</w:t>
      </w: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7、严格管理戒毒人民警察，实施纪律监察，组织开展各类政治业务学习和培训，加强队伍建设，负责民警的警衔、奖惩、任免、考核、工资福利管理工作。</w:t>
      </w:r>
    </w:p>
    <w:p>
      <w:pPr>
        <w:spacing w:line="520" w:lineRule="exact"/>
        <w:ind w:firstLine="630"/>
        <w:rPr>
          <w:rFonts w:hint="eastAsia" w:ascii="仿宋" w:hAnsi="仿宋" w:eastAsia="仿宋" w:cs="仿宋"/>
          <w:b/>
          <w:bCs/>
          <w:kern w:val="0"/>
          <w:sz w:val="32"/>
          <w:szCs w:val="32"/>
        </w:rPr>
      </w:pPr>
      <w:r>
        <w:rPr>
          <w:rFonts w:hint="eastAsia" w:ascii="仿宋" w:hAnsi="仿宋" w:eastAsia="仿宋" w:cs="仿宋"/>
          <w:sz w:val="32"/>
          <w:szCs w:val="32"/>
        </w:rPr>
        <w:t>8、承办州人民政府、州司法局交办的其他事项。</w:t>
      </w:r>
    </w:p>
    <w:p>
      <w:pPr>
        <w:widowControl/>
        <w:spacing w:line="60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ind w:firstLine="560"/>
        <w:rPr>
          <w:rFonts w:hint="eastAsia" w:ascii="仿宋" w:hAnsi="仿宋" w:eastAsia="仿宋" w:cs="仿宋"/>
          <w:b/>
          <w:bCs/>
          <w:kern w:val="0"/>
          <w:sz w:val="32"/>
          <w:szCs w:val="32"/>
        </w:rPr>
      </w:pPr>
      <w:r>
        <w:rPr>
          <w:rFonts w:hint="eastAsia" w:ascii="仿宋" w:hAnsi="仿宋" w:eastAsia="仿宋" w:cs="仿宋"/>
          <w:b/>
          <w:bCs/>
          <w:kern w:val="0"/>
          <w:sz w:val="32"/>
          <w:szCs w:val="32"/>
        </w:rPr>
        <w:t>（一）内设机构设置</w:t>
      </w:r>
    </w:p>
    <w:p>
      <w:pPr>
        <w:ind w:firstLine="56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州司法局机构设置</w:t>
      </w:r>
    </w:p>
    <w:p>
      <w:pPr>
        <w:widowControl/>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根据上述职责，州司法局设12个内设机构（办公室、法制宣传科、律师工作管理科、公证工作管理科、基层工作科、社区矫正工作科、国家司法考试工作科、司法鉴定工作管理科、政策法规科、计划财务装备科、监狱和强制隔离戒毒工作管理科、法律援助工作科）和政治部（下设组织干部科、警务科、教育培训科），纪检监察机构按照有关规定设置。</w:t>
      </w:r>
      <w:r>
        <w:rPr>
          <w:rFonts w:hint="eastAsia" w:ascii="仿宋" w:hAnsi="仿宋" w:eastAsia="仿宋" w:cs="仿宋"/>
          <w:sz w:val="32"/>
          <w:szCs w:val="32"/>
          <w:lang w:eastAsia="zh-CN"/>
        </w:rPr>
        <w:t>包含州法律援助中心、州司法行政干警培训中心、州乾城公证处（独立核算）二级机构。</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3" w:firstLineChars="200"/>
        <w:jc w:val="left"/>
        <w:textAlignment w:val="auto"/>
        <w:rPr>
          <w:rFonts w:hint="eastAsia"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州政府法制办机构设置</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0" w:firstLineChars="200"/>
        <w:jc w:val="left"/>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州法制办为正处级行政机关。内设科室4个，综合科（人事科），立法和规范性文件管理科、行政复议和应诉科、行政执法监督科；下设一个正科级公益一类二级机构（州政府法制事务中心）。核定行政编制7名，全额拨款事业编制6名。2018年末在职人员11人（公务员8人，全额拨款事业人员3人），退休人员6人。</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3" w:firstLineChars="200"/>
        <w:jc w:val="left"/>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吉首监狱部门机构设置</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0" w:firstLineChars="200"/>
        <w:jc w:val="left"/>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内设18个科室全部纳入部门预算管理。</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3" w:firstLineChars="200"/>
        <w:jc w:val="left"/>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州强戒所机构设置</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i w:val="0"/>
          <w:caps w:val="0"/>
          <w:color w:val="000000"/>
          <w:spacing w:val="0"/>
          <w:kern w:val="0"/>
          <w:sz w:val="32"/>
          <w:szCs w:val="32"/>
          <w:lang w:val="en-US" w:eastAsia="zh-CN" w:bidi="ar"/>
        </w:rPr>
        <w:t>内设科室21个，纳入本部门决算汇编范围的独立核算单位1个, 属二级预算拨款的全额行政单位。</w:t>
      </w:r>
    </w:p>
    <w:p>
      <w:pPr>
        <w:widowControl/>
        <w:numPr>
          <w:ilvl w:val="0"/>
          <w:numId w:val="0"/>
        </w:numPr>
        <w:spacing w:line="600" w:lineRule="exact"/>
        <w:ind w:firstLine="643" w:firstLineChars="200"/>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（二）</w:t>
      </w:r>
      <w:r>
        <w:rPr>
          <w:rFonts w:hint="eastAsia" w:ascii="仿宋" w:hAnsi="仿宋" w:eastAsia="仿宋" w:cs="仿宋"/>
          <w:b/>
          <w:bCs/>
          <w:kern w:val="0"/>
          <w:sz w:val="32"/>
          <w:szCs w:val="32"/>
        </w:rPr>
        <w:t>决算单位构成</w:t>
      </w:r>
    </w:p>
    <w:p>
      <w:pPr>
        <w:widowControl/>
        <w:numPr>
          <w:ilvl w:val="0"/>
          <w:numId w:val="0"/>
        </w:numPr>
        <w:spacing w:line="600" w:lineRule="exact"/>
        <w:ind w:firstLine="640" w:firstLineChars="200"/>
        <w:rPr>
          <w:rFonts w:hint="eastAsia" w:ascii="仿宋" w:hAnsi="仿宋" w:eastAsia="仿宋" w:cs="仿宋"/>
          <w:bCs/>
          <w:kern w:val="0"/>
          <w:sz w:val="32"/>
          <w:szCs w:val="32"/>
          <w:lang w:eastAsia="zh-CN"/>
        </w:rPr>
      </w:pPr>
      <w:r>
        <w:rPr>
          <w:rFonts w:hint="eastAsia" w:ascii="仿宋" w:hAnsi="仿宋" w:eastAsia="仿宋" w:cs="仿宋"/>
          <w:b w:val="0"/>
          <w:bCs w:val="0"/>
          <w:kern w:val="0"/>
          <w:sz w:val="32"/>
          <w:szCs w:val="32"/>
          <w:lang w:eastAsia="zh-CN"/>
        </w:rPr>
        <w:t>州司法局</w:t>
      </w:r>
      <w:r>
        <w:rPr>
          <w:rFonts w:hint="eastAsia" w:ascii="仿宋" w:hAnsi="仿宋" w:eastAsia="仿宋" w:cs="仿宋"/>
          <w:b w:val="0"/>
          <w:bCs w:val="0"/>
          <w:kern w:val="0"/>
          <w:sz w:val="32"/>
          <w:szCs w:val="32"/>
        </w:rPr>
        <w:t>2</w:t>
      </w:r>
      <w:r>
        <w:rPr>
          <w:rFonts w:hint="eastAsia" w:ascii="仿宋" w:hAnsi="仿宋" w:eastAsia="仿宋" w:cs="仿宋"/>
          <w:bCs/>
          <w:kern w:val="0"/>
          <w:sz w:val="32"/>
          <w:szCs w:val="32"/>
        </w:rPr>
        <w:t>01</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年部门决算汇总公开单位构成包括：</w:t>
      </w:r>
      <w:r>
        <w:rPr>
          <w:rFonts w:hint="eastAsia" w:ascii="仿宋" w:hAnsi="仿宋" w:eastAsia="仿宋" w:cs="仿宋"/>
          <w:bCs/>
          <w:kern w:val="0"/>
          <w:sz w:val="32"/>
          <w:szCs w:val="32"/>
          <w:lang w:eastAsia="zh-CN"/>
        </w:rPr>
        <w:t>州司法局机关、州乾城公证处、吉首监狱、州强制隔离戒毒所、州法制办本级和州政府法制事务中心。</w:t>
      </w:r>
    </w:p>
    <w:p>
      <w:pPr>
        <w:widowControl/>
        <w:numPr>
          <w:ilvl w:val="0"/>
          <w:numId w:val="0"/>
        </w:numPr>
        <w:spacing w:line="600" w:lineRule="exact"/>
        <w:rPr>
          <w:rFonts w:hint="eastAsia" w:ascii="仿宋" w:hAnsi="仿宋" w:eastAsia="仿宋" w:cs="仿宋"/>
          <w:bCs/>
          <w:kern w:val="0"/>
          <w:sz w:val="32"/>
          <w:szCs w:val="32"/>
          <w:lang w:eastAsia="zh-CN"/>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widowControl/>
        <w:spacing w:line="600" w:lineRule="exact"/>
        <w:ind w:firstLine="640" w:firstLineChars="200"/>
        <w:rPr>
          <w:rFonts w:hint="eastAsia" w:ascii="仿宋" w:hAnsi="仿宋" w:eastAsia="仿宋" w:cs="仿宋"/>
          <w:bCs/>
          <w:kern w:val="0"/>
          <w:sz w:val="32"/>
          <w:szCs w:val="32"/>
        </w:rPr>
      </w:pPr>
    </w:p>
    <w:p>
      <w:pPr>
        <w:jc w:val="left"/>
        <w:rPr>
          <w:rFonts w:hint="eastAsia" w:ascii="仿宋" w:hAnsi="仿宋" w:eastAsia="仿宋" w:cs="仿宋"/>
          <w:sz w:val="32"/>
          <w:szCs w:val="32"/>
        </w:rPr>
      </w:pPr>
    </w:p>
    <w:p>
      <w:pPr>
        <w:widowControl/>
        <w:numPr>
          <w:ilvl w:val="0"/>
          <w:numId w:val="0"/>
        </w:numPr>
        <w:spacing w:line="600" w:lineRule="exact"/>
        <w:jc w:val="center"/>
        <w:rPr>
          <w:rFonts w:hint="eastAsia" w:eastAsia="方正小标宋_GBK"/>
          <w:bCs/>
          <w:kern w:val="0"/>
          <w:sz w:val="36"/>
          <w:szCs w:val="36"/>
        </w:rPr>
      </w:pPr>
      <w:r>
        <w:rPr>
          <w:rFonts w:hint="eastAsia" w:eastAsia="方正小标宋_GBK"/>
          <w:bCs/>
          <w:kern w:val="0"/>
          <w:sz w:val="36"/>
          <w:szCs w:val="36"/>
          <w:lang w:val="en-US" w:eastAsia="zh-CN"/>
        </w:rPr>
        <w:t>第三部分   2018</w:t>
      </w:r>
      <w:r>
        <w:rPr>
          <w:rFonts w:hint="eastAsia" w:eastAsia="方正小标宋_GBK"/>
          <w:bCs/>
          <w:kern w:val="0"/>
          <w:sz w:val="36"/>
          <w:szCs w:val="36"/>
        </w:rPr>
        <w:t>年度</w:t>
      </w:r>
      <w:r>
        <w:rPr>
          <w:rFonts w:hint="eastAsia" w:eastAsia="方正小标宋_GBK"/>
          <w:bCs/>
          <w:kern w:val="0"/>
          <w:sz w:val="36"/>
          <w:szCs w:val="36"/>
          <w:lang w:eastAsia="zh-CN"/>
        </w:rPr>
        <w:t>州司法局</w:t>
      </w:r>
      <w:r>
        <w:rPr>
          <w:rFonts w:hint="eastAsia" w:eastAsia="方正小标宋_GBK"/>
          <w:bCs/>
          <w:kern w:val="0"/>
          <w:sz w:val="36"/>
          <w:szCs w:val="36"/>
        </w:rPr>
        <w:t>部门决算</w:t>
      </w:r>
    </w:p>
    <w:p>
      <w:pPr>
        <w:widowControl/>
        <w:numPr>
          <w:ilvl w:val="0"/>
          <w:numId w:val="0"/>
        </w:numPr>
        <w:spacing w:line="600" w:lineRule="exact"/>
        <w:jc w:val="center"/>
        <w:rPr>
          <w:rFonts w:hint="eastAsia" w:ascii="方正粗黑宋简体" w:hAnsi="方正粗黑宋简体" w:eastAsia="方正粗黑宋简体" w:cs="方正粗黑宋简体"/>
          <w:bCs/>
          <w:kern w:val="0"/>
          <w:sz w:val="44"/>
          <w:szCs w:val="44"/>
        </w:rPr>
      </w:pPr>
      <w:r>
        <w:rPr>
          <w:rFonts w:hint="eastAsia" w:eastAsia="方正小标宋_GBK"/>
          <w:bCs/>
          <w:kern w:val="0"/>
          <w:sz w:val="36"/>
          <w:szCs w:val="36"/>
          <w:lang w:eastAsia="zh-CN"/>
        </w:rPr>
        <w:t>公开</w:t>
      </w:r>
      <w:r>
        <w:rPr>
          <w:rFonts w:hint="eastAsia" w:eastAsia="方正小标宋_GBK"/>
          <w:bCs/>
          <w:kern w:val="0"/>
          <w:sz w:val="36"/>
          <w:szCs w:val="36"/>
        </w:rPr>
        <w:t>说明</w:t>
      </w:r>
    </w:p>
    <w:p>
      <w:pPr>
        <w:widowControl/>
        <w:jc w:val="left"/>
        <w:rPr>
          <w:rFonts w:hint="eastAsia" w:ascii="仿宋" w:hAnsi="仿宋" w:eastAsia="仿宋" w:cs="仿宋"/>
          <w:color w:val="000000"/>
          <w:kern w:val="0"/>
          <w:sz w:val="32"/>
          <w:szCs w:val="32"/>
        </w:rPr>
      </w:pPr>
    </w:p>
    <w:p>
      <w:pPr>
        <w:pStyle w:val="8"/>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bCs/>
          <w:color w:val="auto"/>
          <w:sz w:val="32"/>
          <w:szCs w:val="32"/>
          <w:lang w:val="en-US" w:eastAsia="zh-CN"/>
        </w:rPr>
        <w:t>2018</w:t>
      </w:r>
      <w:r>
        <w:rPr>
          <w:rFonts w:hint="eastAsia" w:ascii="仿宋" w:hAnsi="仿宋" w:eastAsia="仿宋" w:cs="仿宋"/>
          <w:bCs/>
          <w:color w:val="auto"/>
          <w:sz w:val="32"/>
          <w:szCs w:val="32"/>
        </w:rPr>
        <w:t>年度</w:t>
      </w:r>
      <w:r>
        <w:rPr>
          <w:rFonts w:hint="eastAsia" w:ascii="仿宋" w:hAnsi="仿宋" w:eastAsia="仿宋" w:cs="仿宋"/>
          <w:bCs/>
          <w:color w:val="auto"/>
          <w:sz w:val="32"/>
          <w:szCs w:val="32"/>
          <w:lang w:eastAsia="zh-CN"/>
        </w:rPr>
        <w:t>总</w:t>
      </w:r>
      <w:r>
        <w:rPr>
          <w:rFonts w:hint="eastAsia" w:ascii="仿宋" w:hAnsi="仿宋" w:eastAsia="仿宋" w:cs="仿宋"/>
          <w:color w:val="auto"/>
          <w:sz w:val="32"/>
          <w:szCs w:val="32"/>
        </w:rPr>
        <w:t>收</w:t>
      </w:r>
      <w:r>
        <w:rPr>
          <w:rFonts w:hint="eastAsia" w:ascii="仿宋" w:hAnsi="仿宋" w:eastAsia="仿宋" w:cs="仿宋"/>
          <w:color w:val="auto"/>
          <w:sz w:val="32"/>
          <w:szCs w:val="32"/>
          <w:lang w:eastAsia="zh-CN"/>
        </w:rPr>
        <w:t>入</w:t>
      </w:r>
      <w:r>
        <w:rPr>
          <w:rFonts w:hint="eastAsia" w:ascii="仿宋" w:hAnsi="仿宋" w:eastAsia="仿宋" w:cs="仿宋"/>
          <w:color w:val="auto"/>
          <w:sz w:val="32"/>
          <w:szCs w:val="32"/>
          <w:lang w:val="en-US" w:eastAsia="zh-CN"/>
        </w:rPr>
        <w:t>17215.06</w:t>
      </w:r>
      <w:r>
        <w:rPr>
          <w:rFonts w:hint="eastAsia" w:ascii="仿宋" w:hAnsi="仿宋" w:eastAsia="仿宋" w:cs="仿宋"/>
          <w:color w:val="auto"/>
          <w:sz w:val="32"/>
          <w:szCs w:val="32"/>
          <w:lang w:eastAsia="zh-CN"/>
        </w:rPr>
        <w:t>万元，年初结转结余</w:t>
      </w:r>
      <w:r>
        <w:rPr>
          <w:rFonts w:hint="eastAsia" w:ascii="仿宋" w:hAnsi="仿宋" w:eastAsia="仿宋" w:cs="仿宋"/>
          <w:color w:val="auto"/>
          <w:sz w:val="32"/>
          <w:szCs w:val="32"/>
          <w:lang w:val="en-US" w:eastAsia="zh-CN"/>
        </w:rPr>
        <w:t>6341.50</w:t>
      </w:r>
      <w:r>
        <w:rPr>
          <w:rFonts w:hint="eastAsia" w:ascii="仿宋" w:hAnsi="仿宋" w:eastAsia="仿宋" w:cs="仿宋"/>
          <w:color w:val="auto"/>
          <w:sz w:val="32"/>
          <w:szCs w:val="32"/>
          <w:lang w:eastAsia="zh-CN"/>
        </w:rPr>
        <w:t>万元，总支出</w:t>
      </w:r>
      <w:r>
        <w:rPr>
          <w:rFonts w:hint="eastAsia" w:ascii="仿宋" w:hAnsi="仿宋" w:eastAsia="仿宋" w:cs="仿宋"/>
          <w:color w:val="auto"/>
          <w:sz w:val="32"/>
          <w:szCs w:val="32"/>
          <w:lang w:val="en-US" w:eastAsia="zh-CN"/>
        </w:rPr>
        <w:t>14870.13</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，年末结转结余</w:t>
      </w:r>
      <w:r>
        <w:rPr>
          <w:rFonts w:hint="eastAsia" w:ascii="仿宋" w:hAnsi="仿宋" w:eastAsia="仿宋" w:cs="仿宋"/>
          <w:color w:val="auto"/>
          <w:sz w:val="32"/>
          <w:szCs w:val="32"/>
          <w:lang w:val="en-US" w:eastAsia="zh-CN"/>
        </w:rPr>
        <w:t>8686.44</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收入</w:t>
      </w:r>
      <w:r>
        <w:rPr>
          <w:rFonts w:hint="eastAsia" w:ascii="仿宋" w:hAnsi="仿宋" w:eastAsia="仿宋" w:cs="仿宋"/>
          <w:color w:val="auto"/>
          <w:sz w:val="32"/>
          <w:szCs w:val="32"/>
        </w:rPr>
        <w:t>增加</w:t>
      </w:r>
      <w:r>
        <w:rPr>
          <w:rFonts w:hint="eastAsia" w:ascii="仿宋" w:hAnsi="仿宋" w:eastAsia="仿宋" w:cs="仿宋"/>
          <w:color w:val="auto"/>
          <w:sz w:val="32"/>
          <w:szCs w:val="32"/>
          <w:lang w:val="en-US" w:eastAsia="zh-CN"/>
        </w:rPr>
        <w:t>25.67</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0.15</w:t>
      </w:r>
      <w:r>
        <w:rPr>
          <w:rFonts w:hint="eastAsia" w:ascii="仿宋" w:hAnsi="仿宋" w:eastAsia="仿宋" w:cs="仿宋"/>
          <w:color w:val="auto"/>
          <w:sz w:val="32"/>
          <w:szCs w:val="32"/>
        </w:rPr>
        <w:t>%，主要是因</w:t>
      </w:r>
      <w:r>
        <w:rPr>
          <w:rFonts w:hint="eastAsia" w:ascii="仿宋" w:hAnsi="仿宋" w:eastAsia="仿宋" w:cs="仿宋"/>
          <w:color w:val="auto"/>
          <w:sz w:val="32"/>
          <w:szCs w:val="32"/>
          <w:lang w:eastAsia="zh-CN"/>
        </w:rPr>
        <w:t>为财拨收入的增加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lang w:val="en-US" w:eastAsia="zh-CN"/>
        </w:rPr>
        <w:t>2017年相比，支出增加128.07万元，增长0.87%，主要是因为人员经费和业务工作量的增加。</w:t>
      </w:r>
    </w:p>
    <w:p>
      <w:pPr>
        <w:pStyle w:val="8"/>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二、收入决算情况说明</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本年收入合计</w:t>
      </w:r>
      <w:r>
        <w:rPr>
          <w:rFonts w:hint="eastAsia" w:ascii="仿宋" w:hAnsi="仿宋" w:eastAsia="仿宋" w:cs="仿宋"/>
          <w:color w:val="auto"/>
          <w:sz w:val="32"/>
          <w:szCs w:val="32"/>
          <w:lang w:val="en-US" w:eastAsia="zh-CN"/>
        </w:rPr>
        <w:t>17215.06</w:t>
      </w:r>
      <w:r>
        <w:rPr>
          <w:rFonts w:hint="eastAsia" w:ascii="仿宋" w:hAnsi="仿宋" w:eastAsia="仿宋" w:cs="仿宋"/>
          <w:color w:val="auto"/>
          <w:sz w:val="32"/>
          <w:szCs w:val="32"/>
        </w:rPr>
        <w:t>万元，其中：财政拨款收入</w:t>
      </w:r>
      <w:r>
        <w:rPr>
          <w:rFonts w:hint="eastAsia" w:ascii="仿宋" w:hAnsi="仿宋" w:eastAsia="仿宋" w:cs="仿宋"/>
          <w:color w:val="auto"/>
          <w:sz w:val="32"/>
          <w:szCs w:val="32"/>
          <w:lang w:val="en-US" w:eastAsia="zh-CN"/>
        </w:rPr>
        <w:t>17182.40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99.81</w:t>
      </w:r>
      <w:r>
        <w:rPr>
          <w:rFonts w:hint="eastAsia" w:ascii="仿宋" w:hAnsi="仿宋" w:eastAsia="仿宋" w:cs="仿宋"/>
          <w:color w:val="auto"/>
          <w:sz w:val="32"/>
          <w:szCs w:val="32"/>
        </w:rPr>
        <w:t>%；上级补助收入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%；事业收入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%；经营收入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%；附属单位上缴收入</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%；其他收入</w:t>
      </w:r>
      <w:r>
        <w:rPr>
          <w:rFonts w:hint="eastAsia" w:ascii="仿宋" w:hAnsi="仿宋" w:eastAsia="仿宋" w:cs="仿宋"/>
          <w:color w:val="auto"/>
          <w:sz w:val="32"/>
          <w:szCs w:val="32"/>
          <w:lang w:val="en-US" w:eastAsia="zh-CN"/>
        </w:rPr>
        <w:t>32.67</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0.19</w:t>
      </w:r>
      <w:r>
        <w:rPr>
          <w:rFonts w:hint="eastAsia" w:ascii="仿宋" w:hAnsi="仿宋" w:eastAsia="仿宋" w:cs="仿宋"/>
          <w:color w:val="auto"/>
          <w:sz w:val="32"/>
          <w:szCs w:val="32"/>
        </w:rPr>
        <w:t>%。</w:t>
      </w:r>
    </w:p>
    <w:p>
      <w:pPr>
        <w:pStyle w:val="8"/>
        <w:spacing w:line="60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三、支出决算情况说明</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本年支出合计</w:t>
      </w:r>
      <w:r>
        <w:rPr>
          <w:rFonts w:hint="eastAsia" w:ascii="仿宋" w:hAnsi="仿宋" w:eastAsia="仿宋" w:cs="仿宋"/>
          <w:color w:val="auto"/>
          <w:sz w:val="32"/>
          <w:szCs w:val="32"/>
          <w:lang w:val="en-US" w:eastAsia="zh-CN"/>
        </w:rPr>
        <w:t>14870.13</w:t>
      </w:r>
      <w:r>
        <w:rPr>
          <w:rFonts w:hint="eastAsia" w:ascii="仿宋" w:hAnsi="仿宋" w:eastAsia="仿宋" w:cs="仿宋"/>
          <w:color w:val="auto"/>
          <w:sz w:val="32"/>
          <w:szCs w:val="32"/>
        </w:rPr>
        <w:t>万元，其中：基本支出</w:t>
      </w:r>
      <w:r>
        <w:rPr>
          <w:rFonts w:hint="eastAsia" w:ascii="仿宋" w:hAnsi="仿宋" w:eastAsia="仿宋" w:cs="仿宋"/>
          <w:color w:val="auto"/>
          <w:sz w:val="32"/>
          <w:szCs w:val="32"/>
          <w:lang w:val="en-US" w:eastAsia="zh-CN"/>
        </w:rPr>
        <w:t>12535.20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84.30</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2334.93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15.70</w:t>
      </w:r>
      <w:r>
        <w:rPr>
          <w:rFonts w:hint="eastAsia" w:ascii="仿宋" w:hAnsi="仿宋" w:eastAsia="仿宋" w:cs="仿宋"/>
          <w:color w:val="auto"/>
          <w:sz w:val="32"/>
          <w:szCs w:val="32"/>
        </w:rPr>
        <w:t>%；上缴上级支出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%；经营支出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%；对附属单位补助支出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pStyle w:val="8"/>
        <w:spacing w:line="60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四、财政拨款收入支出决算总体情况说明</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年度财政拨款</w:t>
      </w:r>
      <w:r>
        <w:rPr>
          <w:rFonts w:hint="eastAsia" w:ascii="仿宋" w:hAnsi="仿宋" w:eastAsia="仿宋" w:cs="仿宋"/>
          <w:color w:val="auto"/>
          <w:sz w:val="32"/>
          <w:szCs w:val="32"/>
          <w:lang w:eastAsia="zh-CN"/>
        </w:rPr>
        <w:t>总</w:t>
      </w:r>
      <w:r>
        <w:rPr>
          <w:rFonts w:hint="eastAsia" w:ascii="仿宋" w:hAnsi="仿宋" w:eastAsia="仿宋" w:cs="仿宋"/>
          <w:color w:val="auto"/>
          <w:sz w:val="32"/>
          <w:szCs w:val="32"/>
        </w:rPr>
        <w:t>收</w:t>
      </w:r>
      <w:r>
        <w:rPr>
          <w:rFonts w:hint="eastAsia" w:ascii="仿宋" w:hAnsi="仿宋" w:eastAsia="仿宋" w:cs="仿宋"/>
          <w:color w:val="auto"/>
          <w:sz w:val="32"/>
          <w:szCs w:val="32"/>
          <w:lang w:eastAsia="zh-CN"/>
        </w:rPr>
        <w:t>入</w:t>
      </w:r>
      <w:r>
        <w:rPr>
          <w:rFonts w:hint="eastAsia" w:ascii="仿宋" w:hAnsi="仿宋" w:eastAsia="仿宋" w:cs="仿宋"/>
          <w:color w:val="auto"/>
          <w:sz w:val="32"/>
          <w:szCs w:val="32"/>
          <w:lang w:val="en-US" w:eastAsia="zh-CN"/>
        </w:rPr>
        <w:t>17182.40</w:t>
      </w:r>
      <w:r>
        <w:rPr>
          <w:rFonts w:hint="eastAsia" w:ascii="仿宋" w:hAnsi="仿宋" w:eastAsia="仿宋" w:cs="仿宋"/>
          <w:color w:val="auto"/>
          <w:sz w:val="32"/>
          <w:szCs w:val="32"/>
          <w:lang w:eastAsia="zh-CN"/>
        </w:rPr>
        <w:t>万元，年初结转结余</w:t>
      </w:r>
      <w:r>
        <w:rPr>
          <w:rFonts w:hint="eastAsia" w:ascii="仿宋" w:hAnsi="仿宋" w:eastAsia="仿宋" w:cs="仿宋"/>
          <w:color w:val="auto"/>
          <w:sz w:val="32"/>
          <w:szCs w:val="32"/>
          <w:lang w:val="en-US" w:eastAsia="zh-CN"/>
        </w:rPr>
        <w:t>6292.29</w:t>
      </w:r>
      <w:r>
        <w:rPr>
          <w:rFonts w:hint="eastAsia" w:ascii="仿宋" w:hAnsi="仿宋" w:eastAsia="仿宋" w:cs="仿宋"/>
          <w:color w:val="auto"/>
          <w:sz w:val="32"/>
          <w:szCs w:val="32"/>
          <w:lang w:eastAsia="zh-CN"/>
        </w:rPr>
        <w:t>万元，财政拨款总支出</w:t>
      </w:r>
      <w:r>
        <w:rPr>
          <w:rFonts w:hint="eastAsia" w:ascii="仿宋" w:hAnsi="仿宋" w:eastAsia="仿宋" w:cs="仿宋"/>
          <w:color w:val="auto"/>
          <w:sz w:val="32"/>
          <w:szCs w:val="32"/>
          <w:lang w:val="en-US" w:eastAsia="zh-CN"/>
        </w:rPr>
        <w:t>14831.44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年末结转结余</w:t>
      </w:r>
      <w:r>
        <w:rPr>
          <w:rFonts w:hint="eastAsia" w:ascii="仿宋" w:hAnsi="仿宋" w:eastAsia="仿宋" w:cs="仿宋"/>
          <w:color w:val="auto"/>
          <w:sz w:val="32"/>
          <w:szCs w:val="32"/>
          <w:lang w:val="en-US" w:eastAsia="zh-CN"/>
        </w:rPr>
        <w:t>8643.24万元。</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收入</w:t>
      </w:r>
      <w:r>
        <w:rPr>
          <w:rFonts w:hint="eastAsia" w:ascii="仿宋" w:hAnsi="仿宋" w:eastAsia="仿宋" w:cs="仿宋"/>
          <w:color w:val="auto"/>
          <w:sz w:val="32"/>
          <w:szCs w:val="32"/>
        </w:rPr>
        <w:t>增加</w:t>
      </w:r>
      <w:r>
        <w:rPr>
          <w:rFonts w:hint="eastAsia" w:ascii="仿宋" w:hAnsi="仿宋" w:eastAsia="仿宋" w:cs="仿宋"/>
          <w:color w:val="auto"/>
          <w:sz w:val="32"/>
          <w:szCs w:val="32"/>
          <w:lang w:val="en-US" w:eastAsia="zh-CN"/>
        </w:rPr>
        <w:t>25.67</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0.15</w:t>
      </w:r>
      <w:r>
        <w:rPr>
          <w:rFonts w:hint="eastAsia" w:ascii="仿宋" w:hAnsi="仿宋" w:eastAsia="仿宋" w:cs="仿宋"/>
          <w:color w:val="auto"/>
          <w:sz w:val="32"/>
          <w:szCs w:val="32"/>
        </w:rPr>
        <w:t>%，主要是因为</w:t>
      </w:r>
      <w:r>
        <w:rPr>
          <w:rFonts w:hint="eastAsia" w:ascii="仿宋" w:hAnsi="仿宋" w:eastAsia="仿宋" w:cs="仿宋"/>
          <w:color w:val="auto"/>
          <w:sz w:val="32"/>
          <w:szCs w:val="32"/>
          <w:lang w:eastAsia="zh-CN"/>
        </w:rPr>
        <w:t>财拨收入的增加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lang w:val="en-US" w:eastAsia="zh-CN"/>
        </w:rPr>
        <w:t>2017年相比，支出增加128.07万元，增长0.87%，主要是因为人员经费和工作业务量的增加。</w:t>
      </w:r>
    </w:p>
    <w:p>
      <w:pPr>
        <w:pStyle w:val="8"/>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pStyle w:val="8"/>
        <w:spacing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（一）财政拨款支出决算总体情况</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年度财政拨款支出</w:t>
      </w:r>
      <w:r>
        <w:rPr>
          <w:rFonts w:hint="eastAsia" w:ascii="仿宋" w:hAnsi="仿宋" w:eastAsia="仿宋" w:cs="仿宋"/>
          <w:color w:val="auto"/>
          <w:sz w:val="32"/>
          <w:szCs w:val="32"/>
          <w:lang w:val="en-US" w:eastAsia="zh-CN"/>
        </w:rPr>
        <w:t>14831.44</w:t>
      </w:r>
      <w:r>
        <w:rPr>
          <w:rFonts w:hint="eastAsia" w:ascii="仿宋" w:hAnsi="仿宋" w:eastAsia="仿宋" w:cs="仿宋"/>
          <w:color w:val="auto"/>
          <w:sz w:val="32"/>
          <w:szCs w:val="32"/>
        </w:rPr>
        <w:t>万元，占本年支出合计的</w:t>
      </w:r>
      <w:r>
        <w:rPr>
          <w:rFonts w:hint="eastAsia" w:ascii="仿宋" w:hAnsi="仿宋" w:eastAsia="仿宋" w:cs="仿宋"/>
          <w:color w:val="auto"/>
          <w:sz w:val="32"/>
          <w:szCs w:val="32"/>
          <w:lang w:val="en-US" w:eastAsia="zh-CN"/>
        </w:rPr>
        <w:t>99.74</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年相比，财政拨款支出增加</w:t>
      </w:r>
      <w:r>
        <w:rPr>
          <w:rFonts w:hint="eastAsia" w:ascii="仿宋" w:hAnsi="仿宋" w:eastAsia="仿宋" w:cs="仿宋"/>
          <w:color w:val="auto"/>
          <w:sz w:val="32"/>
          <w:szCs w:val="32"/>
          <w:lang w:val="en-US" w:eastAsia="zh-CN"/>
        </w:rPr>
        <w:t>128.07</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0.87</w:t>
      </w:r>
      <w:r>
        <w:rPr>
          <w:rFonts w:hint="eastAsia" w:ascii="仿宋" w:hAnsi="仿宋" w:eastAsia="仿宋" w:cs="仿宋"/>
          <w:color w:val="auto"/>
          <w:sz w:val="32"/>
          <w:szCs w:val="32"/>
        </w:rPr>
        <w:t>%，主要是因为</w:t>
      </w:r>
      <w:r>
        <w:rPr>
          <w:rFonts w:hint="eastAsia" w:ascii="仿宋" w:hAnsi="仿宋" w:eastAsia="仿宋" w:cs="仿宋"/>
          <w:color w:val="auto"/>
          <w:sz w:val="32"/>
          <w:szCs w:val="32"/>
          <w:lang w:eastAsia="zh-CN"/>
        </w:rPr>
        <w:t>人员经费和工作业务量的增加</w:t>
      </w:r>
      <w:r>
        <w:rPr>
          <w:rFonts w:hint="eastAsia" w:ascii="仿宋" w:hAnsi="仿宋" w:eastAsia="仿宋" w:cs="仿宋"/>
          <w:color w:val="auto"/>
          <w:sz w:val="32"/>
          <w:szCs w:val="32"/>
        </w:rPr>
        <w:t>。</w:t>
      </w:r>
    </w:p>
    <w:p>
      <w:pPr>
        <w:pStyle w:val="8"/>
        <w:spacing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（二）财政拨款支出决算结构情况</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年度财政拨款支出</w:t>
      </w:r>
      <w:r>
        <w:rPr>
          <w:rFonts w:hint="eastAsia" w:ascii="仿宋" w:hAnsi="仿宋" w:eastAsia="仿宋" w:cs="仿宋"/>
          <w:color w:val="auto"/>
          <w:sz w:val="32"/>
          <w:szCs w:val="32"/>
          <w:lang w:val="en-US" w:eastAsia="zh-CN"/>
        </w:rPr>
        <w:t>14831.44</w:t>
      </w:r>
      <w:r>
        <w:rPr>
          <w:rFonts w:hint="eastAsia" w:ascii="仿宋" w:hAnsi="仿宋" w:eastAsia="仿宋" w:cs="仿宋"/>
          <w:color w:val="auto"/>
          <w:sz w:val="32"/>
          <w:szCs w:val="32"/>
        </w:rPr>
        <w:t>万元，主要用于以下方面：一般公共服务（类）支出</w:t>
      </w:r>
      <w:r>
        <w:rPr>
          <w:rFonts w:hint="eastAsia" w:ascii="仿宋" w:hAnsi="仿宋" w:eastAsia="仿宋" w:cs="仿宋"/>
          <w:color w:val="auto"/>
          <w:sz w:val="32"/>
          <w:szCs w:val="32"/>
          <w:lang w:val="en-US" w:eastAsia="zh-CN"/>
        </w:rPr>
        <w:t>365.42</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2.46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公共安全</w:t>
      </w:r>
      <w:r>
        <w:rPr>
          <w:rFonts w:hint="eastAsia" w:ascii="仿宋" w:hAnsi="仿宋" w:eastAsia="仿宋" w:cs="仿宋"/>
          <w:color w:val="auto"/>
          <w:sz w:val="32"/>
          <w:szCs w:val="32"/>
        </w:rPr>
        <w:t>（类）支出</w:t>
      </w:r>
      <w:r>
        <w:rPr>
          <w:rFonts w:hint="eastAsia" w:ascii="仿宋" w:hAnsi="仿宋" w:eastAsia="仿宋" w:cs="仿宋"/>
          <w:color w:val="auto"/>
          <w:sz w:val="32"/>
          <w:szCs w:val="32"/>
          <w:lang w:val="en-US" w:eastAsia="zh-CN"/>
        </w:rPr>
        <w:t>12778.25</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86.16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社会保障和就业支出（类）支出</w:t>
      </w:r>
      <w:r>
        <w:rPr>
          <w:rFonts w:hint="eastAsia" w:ascii="仿宋" w:hAnsi="仿宋" w:eastAsia="仿宋" w:cs="仿宋"/>
          <w:color w:val="auto"/>
          <w:sz w:val="32"/>
          <w:szCs w:val="32"/>
          <w:lang w:val="en-US" w:eastAsia="zh-CN"/>
        </w:rPr>
        <w:t>1042.30万元，占7.03%，医疗卫生支出（类）支出2万元，占0.01%，住房保障支出（类）支出643.48万元，占4.34%。</w:t>
      </w:r>
    </w:p>
    <w:p>
      <w:pPr>
        <w:pStyle w:val="8"/>
        <w:spacing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（三）财政拨款支出决算具体情况</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年度财政拨款支出年初预算数为</w:t>
      </w:r>
      <w:r>
        <w:rPr>
          <w:rFonts w:hint="eastAsia" w:ascii="仿宋" w:hAnsi="仿宋" w:eastAsia="仿宋" w:cs="仿宋"/>
          <w:color w:val="auto"/>
          <w:sz w:val="32"/>
          <w:szCs w:val="32"/>
          <w:lang w:val="en-US" w:eastAsia="zh-CN"/>
        </w:rPr>
        <w:t>8919.16</w:t>
      </w:r>
      <w:r>
        <w:rPr>
          <w:rFonts w:hint="eastAsia" w:ascii="仿宋" w:hAnsi="仿宋" w:eastAsia="仿宋" w:cs="仿宋"/>
          <w:color w:val="auto"/>
          <w:sz w:val="32"/>
          <w:szCs w:val="32"/>
        </w:rPr>
        <w:t>万元，支出决算数为</w:t>
      </w:r>
      <w:r>
        <w:rPr>
          <w:rFonts w:hint="eastAsia" w:ascii="仿宋" w:hAnsi="仿宋" w:eastAsia="仿宋" w:cs="仿宋"/>
          <w:color w:val="auto"/>
          <w:sz w:val="32"/>
          <w:szCs w:val="32"/>
          <w:lang w:val="en-US" w:eastAsia="zh-CN"/>
        </w:rPr>
        <w:t>14831.44</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166.29</w:t>
      </w:r>
      <w:r>
        <w:rPr>
          <w:rFonts w:hint="eastAsia" w:ascii="仿宋" w:hAnsi="仿宋" w:eastAsia="仿宋" w:cs="仿宋"/>
          <w:color w:val="auto"/>
          <w:sz w:val="32"/>
          <w:szCs w:val="32"/>
        </w:rPr>
        <w:t>%，其中：</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1、一般公共服务（类）政府办公厅（室）及相关机构事务（款）行政运行（项）。</w:t>
      </w:r>
    </w:p>
    <w:p>
      <w:pPr>
        <w:pStyle w:val="8"/>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145.59</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203.90</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140.05</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年初预算数的主要原因是</w:t>
      </w:r>
      <w:r>
        <w:rPr>
          <w:rFonts w:hint="eastAsia" w:ascii="仿宋" w:hAnsi="仿宋" w:eastAsia="仿宋" w:cs="仿宋"/>
          <w:color w:val="auto"/>
          <w:sz w:val="32"/>
          <w:szCs w:val="32"/>
          <w:lang w:eastAsia="zh-CN"/>
        </w:rPr>
        <w:t>行政运行支出人员经费和公用经费开支的增加。</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2、一般公共服务（类）政府办公厅（室）及相关机构事务（款）一般行政管理事务（项）。</w:t>
      </w:r>
    </w:p>
    <w:p>
      <w:pPr>
        <w:pStyle w:val="8"/>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24.16</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95.07</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393.50</w:t>
      </w:r>
      <w:r>
        <w:rPr>
          <w:rFonts w:hint="eastAsia" w:ascii="仿宋" w:hAnsi="仿宋" w:eastAsia="仿宋" w:cs="仿宋"/>
          <w:color w:val="auto"/>
          <w:sz w:val="32"/>
          <w:szCs w:val="32"/>
        </w:rPr>
        <w:t>%，决算数</w:t>
      </w:r>
      <w:r>
        <w:rPr>
          <w:rFonts w:hint="eastAsia" w:ascii="仿宋" w:hAnsi="仿宋" w:eastAsia="仿宋" w:cs="仿宋"/>
          <w:color w:val="auto"/>
          <w:sz w:val="32"/>
          <w:szCs w:val="32"/>
          <w:lang w:eastAsia="zh-CN"/>
        </w:rPr>
        <w:t>大于</w:t>
      </w:r>
      <w:r>
        <w:rPr>
          <w:rFonts w:hint="eastAsia" w:ascii="仿宋" w:hAnsi="仿宋" w:eastAsia="仿宋" w:cs="仿宋"/>
          <w:color w:val="auto"/>
          <w:sz w:val="32"/>
          <w:szCs w:val="32"/>
        </w:rPr>
        <w:t>年初预算数的主要原因是</w:t>
      </w:r>
      <w:r>
        <w:rPr>
          <w:rFonts w:hint="eastAsia" w:ascii="仿宋" w:hAnsi="仿宋" w:eastAsia="仿宋" w:cs="仿宋"/>
          <w:color w:val="auto"/>
          <w:sz w:val="32"/>
          <w:szCs w:val="32"/>
          <w:lang w:eastAsia="zh-CN"/>
        </w:rPr>
        <w:t>案件业务工作量的增加。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3、一般公共服务（类）政府办公厅（室）及相关机构事务（款）法制建设（项）。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年初预算为5万元，支出决算为3.73万元，完成年初预算的74.6%，决算数小于年初预算数的主要原因是用于法制建设的支出减少。</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4、一般公共服务（类）政府办公厅（室）及相关机构事务（款）事业运行（项）。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年初预算为8.04万元，支出决算为2.94万元，完成年初预算的36.57%，决算数小于年初预算数的主要原因是事业人员经费的减少。</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5、一般公共服务（类）政府办公厅（室）及相关机构事务（款）其他政府办公厅（室）及相关机构事务支出（项）。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年初预算为0万元，支出决算为5万元，完成年初预算的100%，决算数大于年初预算数的主要原因是案件工作量增加。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6、一般公共服务（类）纪检监察事务（款）一般行政管理事务（项）。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年初预算为0万元，支出决算为11.17万元，完成年初预算的100%，决算数大于年初预算数的主要原因是纪检人员经费和工作支出的增加。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7、一般公共服务（类）民主党派及工商联事务（款）行政运行（项）。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年初预算为0万元，支出决算为11.69万元，完成年初预算的100%，决算数大于年初预算数的主要原因是民主党派人员经费和业务工作量的增加。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8、一般公共服务（类）其他一般公共服务支出（款）其他一般公共服务支出（项）。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年初预算为0万元，支出决算为31.93万元，完成年初预算的100%，决算数大于年初预算数的主要原因是案件业务工作量的增加。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9、公共安全支出（类）司法（款）行政运行（项）。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年初预算为1079.50万元，支出决算为1485.31万元，完成年初预算的137.59%，决算数大于年初预算数的主要原因是人员经费的增加和业务工作量的增加。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10、公共安全支出（类）司法（款）一般行政管理事务（项）。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年初预算为0万元，支出决算为12.60万元，完成年初预算的100%，决算数大于年初预算数的主要原因是业务工作量的增加。</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11、公共安全支出（类）司法（款）普法宣传（项）。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年初预算为86.80万元，支出决算为74.42万元，完成年初预算的85.74%，决算数小于年初预算数的主要原因是厉行节约，控制经费支出。</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12、公共安全支出（类）司法（款）法律援助（项）。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年初预算为8万元，支出决算为8万元，完成年初预算的100%，决算数等于年初预算数的主要原因是用于法律援助经费支出。</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13、公共安全支出（类）司法（款）事业运行（项）。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年初预算为0万元，支出决算为40.74万元，完成年初预算的100%，决算数大于年初预算数的主要原因是用于乾城公证处人员及公用经费支出。</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14、公共安全支出（类）司法（款） 其他司法支出（项）。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年初预算为0万元，支出决算为625.64万元，完成年初预算的100%，决算数大于年初预算数的主要原因是基建款支出。</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15、公共安全支出（类）监狱（款） 行政运行（项）。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年初预算为4711.15万元，支出决算为6922.64万元，完成年初预算的100%，决算数大于年初预算数的主要原因是</w:t>
      </w:r>
      <w:r>
        <w:rPr>
          <w:rFonts w:hint="eastAsia" w:ascii="仿宋" w:hAnsi="仿宋" w:eastAsia="仿宋" w:cs="仿宋"/>
          <w:color w:val="auto"/>
          <w:sz w:val="32"/>
          <w:szCs w:val="32"/>
          <w:lang w:eastAsia="zh-CN"/>
        </w:rPr>
        <w:t>人员经费和业务工作量的增加</w:t>
      </w:r>
      <w:r>
        <w:rPr>
          <w:rFonts w:hint="eastAsia" w:ascii="仿宋" w:hAnsi="仿宋" w:eastAsia="仿宋" w:cs="仿宋"/>
          <w:color w:val="auto"/>
          <w:sz w:val="32"/>
          <w:szCs w:val="32"/>
          <w:lang w:val="en-US" w:eastAsia="zh-CN"/>
        </w:rPr>
        <w:t>。</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16、公共安全支出（类）监狱（款） 犯人生活（项）。</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年初预算为369万元，支出决算为371.32万元，完成年初预算的100%，决算数大于年初预算数的主要原因是</w:t>
      </w:r>
      <w:r>
        <w:rPr>
          <w:rFonts w:hint="eastAsia" w:ascii="仿宋" w:hAnsi="仿宋" w:eastAsia="仿宋" w:cs="仿宋"/>
          <w:color w:val="auto"/>
          <w:sz w:val="32"/>
          <w:szCs w:val="32"/>
          <w:lang w:eastAsia="zh-CN"/>
        </w:rPr>
        <w:t>犯人人数一定的增加导致生活开支增加</w:t>
      </w:r>
      <w:r>
        <w:rPr>
          <w:rFonts w:hint="eastAsia" w:ascii="仿宋" w:hAnsi="仿宋" w:eastAsia="仿宋" w:cs="仿宋"/>
          <w:color w:val="auto"/>
          <w:sz w:val="32"/>
          <w:szCs w:val="32"/>
          <w:lang w:val="en-US" w:eastAsia="zh-CN"/>
        </w:rPr>
        <w:t>。</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监狱</w:t>
      </w:r>
      <w:r>
        <w:rPr>
          <w:rFonts w:hint="eastAsia" w:ascii="仿宋" w:hAnsi="仿宋" w:eastAsia="仿宋" w:cs="仿宋"/>
          <w:color w:val="auto"/>
          <w:sz w:val="32"/>
          <w:szCs w:val="32"/>
        </w:rPr>
        <w:t>（款）狱政设施建设（项）。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366.17</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w:t>
      </w:r>
      <w:r>
        <w:rPr>
          <w:rFonts w:hint="eastAsia" w:ascii="仿宋" w:hAnsi="仿宋" w:eastAsia="仿宋" w:cs="仿宋"/>
          <w:color w:val="auto"/>
          <w:sz w:val="32"/>
          <w:szCs w:val="32"/>
          <w:lang w:eastAsia="zh-CN"/>
        </w:rPr>
        <w:t>是狱政设施建设支出的增加。</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监狱</w:t>
      </w:r>
      <w:r>
        <w:rPr>
          <w:rFonts w:hint="eastAsia" w:ascii="仿宋" w:hAnsi="仿宋" w:eastAsia="仿宋" w:cs="仿宋"/>
          <w:color w:val="auto"/>
          <w:sz w:val="32"/>
          <w:szCs w:val="32"/>
        </w:rPr>
        <w:t>（款）其他监狱支出（项）。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42.66</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266.46</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624.61</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业务工作的增加。</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强制隔离戒毒</w:t>
      </w:r>
      <w:r>
        <w:rPr>
          <w:rFonts w:hint="eastAsia" w:ascii="仿宋" w:hAnsi="仿宋" w:eastAsia="仿宋" w:cs="仿宋"/>
          <w:color w:val="auto"/>
          <w:sz w:val="32"/>
          <w:szCs w:val="32"/>
        </w:rPr>
        <w:t>（款） 行政运行（项）。</w:t>
      </w:r>
    </w:p>
    <w:p>
      <w:pPr>
        <w:pStyle w:val="8"/>
        <w:numPr>
          <w:ilvl w:val="0"/>
          <w:numId w:val="0"/>
        </w:num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1256.58</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1920.45</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152.83</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人员经费和业务工作量的增加。</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强制隔离戒毒</w:t>
      </w:r>
      <w:r>
        <w:rPr>
          <w:rFonts w:hint="eastAsia" w:ascii="仿宋" w:hAnsi="仿宋" w:eastAsia="仿宋" w:cs="仿宋"/>
          <w:color w:val="auto"/>
          <w:sz w:val="32"/>
          <w:szCs w:val="32"/>
        </w:rPr>
        <w:t>（款）一般行政管理事务（项）。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103</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%，决算数大于年初预算数的主要原因是一般行政管理事务</w:t>
      </w:r>
      <w:r>
        <w:rPr>
          <w:rFonts w:hint="eastAsia" w:ascii="仿宋" w:hAnsi="仿宋" w:eastAsia="仿宋" w:cs="仿宋"/>
          <w:color w:val="auto"/>
          <w:sz w:val="32"/>
          <w:szCs w:val="32"/>
          <w:lang w:eastAsia="zh-CN"/>
        </w:rPr>
        <w:t>业务工作量的增加。</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强制隔离戒毒</w:t>
      </w:r>
      <w:r>
        <w:rPr>
          <w:rFonts w:hint="eastAsia" w:ascii="仿宋" w:hAnsi="仿宋" w:eastAsia="仿宋" w:cs="仿宋"/>
          <w:color w:val="auto"/>
          <w:sz w:val="32"/>
          <w:szCs w:val="32"/>
        </w:rPr>
        <w:t>（款）强制隔离戒毒人员生活（项）。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194.60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194.58</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99.99</w:t>
      </w:r>
      <w:r>
        <w:rPr>
          <w:rFonts w:hint="eastAsia" w:ascii="仿宋" w:hAnsi="仿宋" w:eastAsia="仿宋" w:cs="仿宋"/>
          <w:color w:val="auto"/>
          <w:sz w:val="32"/>
          <w:szCs w:val="32"/>
        </w:rPr>
        <w:t>%，决算数小于年初预算数的主要原因是</w:t>
      </w:r>
      <w:r>
        <w:rPr>
          <w:rFonts w:hint="eastAsia" w:ascii="仿宋" w:hAnsi="仿宋" w:eastAsia="仿宋" w:cs="仿宋"/>
          <w:color w:val="auto"/>
          <w:sz w:val="32"/>
          <w:szCs w:val="32"/>
          <w:lang w:eastAsia="zh-CN"/>
        </w:rPr>
        <w:t>工作经费基本满足戒毒人员生活支出。</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强制隔离戒毒</w:t>
      </w:r>
      <w:r>
        <w:rPr>
          <w:rFonts w:hint="eastAsia" w:ascii="仿宋" w:hAnsi="仿宋" w:eastAsia="仿宋" w:cs="仿宋"/>
          <w:color w:val="auto"/>
          <w:sz w:val="32"/>
          <w:szCs w:val="32"/>
        </w:rPr>
        <w:t>（款）强制隔离戒毒人员教育（项）。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0.17</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增加了戒毒人员教育工作量。</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强制隔离戒毒</w:t>
      </w:r>
      <w:r>
        <w:rPr>
          <w:rFonts w:hint="eastAsia" w:ascii="仿宋" w:hAnsi="仿宋" w:eastAsia="仿宋" w:cs="仿宋"/>
          <w:color w:val="auto"/>
          <w:sz w:val="32"/>
          <w:szCs w:val="32"/>
        </w:rPr>
        <w:t>（款）所政设施建设（项）。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115</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%，决算数大于（小于）年初预算数的主要原因是</w:t>
      </w:r>
      <w:r>
        <w:rPr>
          <w:rFonts w:hint="eastAsia" w:ascii="仿宋" w:hAnsi="仿宋" w:eastAsia="仿宋" w:cs="仿宋"/>
          <w:color w:val="auto"/>
          <w:sz w:val="32"/>
          <w:szCs w:val="32"/>
          <w:lang w:eastAsia="zh-CN"/>
        </w:rPr>
        <w:t>基建支出的增加。</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强制隔离戒毒</w:t>
      </w:r>
      <w:r>
        <w:rPr>
          <w:rFonts w:hint="eastAsia" w:ascii="仿宋" w:hAnsi="仿宋" w:eastAsia="仿宋" w:cs="仿宋"/>
          <w:color w:val="auto"/>
          <w:sz w:val="32"/>
          <w:szCs w:val="32"/>
        </w:rPr>
        <w:t>（款）其他强制隔离戒毒支出（项）。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w:t>
      </w:r>
      <w:r>
        <w:rPr>
          <w:rFonts w:hint="eastAsia" w:ascii="仿宋" w:hAnsi="仿宋" w:eastAsia="仿宋" w:cs="仿宋"/>
          <w:color w:val="auto"/>
          <w:sz w:val="32"/>
          <w:szCs w:val="32"/>
          <w:u w:val="none"/>
        </w:rPr>
        <w:t>为</w:t>
      </w:r>
      <w:r>
        <w:rPr>
          <w:rFonts w:hint="eastAsia" w:ascii="仿宋" w:hAnsi="仿宋" w:eastAsia="仿宋" w:cs="仿宋"/>
          <w:color w:val="auto"/>
          <w:sz w:val="32"/>
          <w:szCs w:val="32"/>
          <w:u w:val="none"/>
          <w:lang w:val="en-US" w:eastAsia="zh-CN"/>
        </w:rPr>
        <w:t>120.80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252.82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209.29</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业务工作量的增加。</w:t>
      </w:r>
    </w:p>
    <w:p>
      <w:pPr>
        <w:pStyle w:val="8"/>
        <w:numPr>
          <w:ilvl w:val="0"/>
          <w:numId w:val="0"/>
        </w:num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lang w:eastAsia="zh-CN"/>
        </w:rPr>
        <w:t>公共安全支出</w:t>
      </w:r>
      <w:r>
        <w:rPr>
          <w:rFonts w:hint="eastAsia" w:ascii="仿宋" w:hAnsi="仿宋" w:eastAsia="仿宋" w:cs="仿宋"/>
          <w:color w:val="auto"/>
          <w:sz w:val="32"/>
          <w:szCs w:val="32"/>
        </w:rPr>
        <w:t>（类）</w:t>
      </w:r>
      <w:r>
        <w:rPr>
          <w:rFonts w:hint="eastAsia" w:ascii="仿宋" w:hAnsi="仿宋" w:eastAsia="仿宋" w:cs="仿宋"/>
          <w:color w:val="auto"/>
          <w:sz w:val="32"/>
          <w:szCs w:val="32"/>
          <w:lang w:eastAsia="zh-CN"/>
        </w:rPr>
        <w:t>其他公共安全支出</w:t>
      </w:r>
      <w:r>
        <w:rPr>
          <w:rFonts w:hint="eastAsia" w:ascii="仿宋" w:hAnsi="仿宋" w:eastAsia="仿宋" w:cs="仿宋"/>
          <w:color w:val="auto"/>
          <w:sz w:val="32"/>
          <w:szCs w:val="32"/>
        </w:rPr>
        <w:t>（款）其他公共安全支出（项）。</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18.92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司法救助款的支出。</w:t>
      </w:r>
    </w:p>
    <w:p>
      <w:pPr>
        <w:pStyle w:val="8"/>
        <w:numPr>
          <w:ilvl w:val="0"/>
          <w:numId w:val="0"/>
        </w:num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26、社会保障和就业支出（类）行政事业单位离退休（款）  归口管理的行政单位离退休（项）</w:t>
      </w:r>
    </w:p>
    <w:p>
      <w:pPr>
        <w:pStyle w:val="8"/>
        <w:numPr>
          <w:ilvl w:val="0"/>
          <w:numId w:val="0"/>
        </w:num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213.55</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821.02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384.46</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人员经费养老金支出的增加。</w:t>
      </w:r>
    </w:p>
    <w:p>
      <w:pPr>
        <w:pStyle w:val="8"/>
        <w:numPr>
          <w:ilvl w:val="0"/>
          <w:numId w:val="0"/>
        </w:num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27、社会保障和就业支出（类）抚恤（款）死亡抚恤（项）</w:t>
      </w:r>
    </w:p>
    <w:p>
      <w:pPr>
        <w:pStyle w:val="8"/>
        <w:numPr>
          <w:ilvl w:val="0"/>
          <w:numId w:val="0"/>
        </w:numPr>
        <w:spacing w:line="600" w:lineRule="exac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w:t>
      </w:r>
      <w:r>
        <w:rPr>
          <w:rFonts w:hint="eastAsia" w:ascii="仿宋" w:hAnsi="仿宋" w:eastAsia="仿宋" w:cs="仿宋"/>
          <w:color w:val="auto"/>
          <w:sz w:val="32"/>
          <w:szCs w:val="32"/>
          <w:lang w:val="en-US" w:eastAsia="zh-CN"/>
        </w:rPr>
        <w:t>79.84</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人员经费支出的增加。</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28、社会保障和就业支出（类）抚恤（款）伤残抚恤（项）</w:t>
      </w: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w:t>
      </w:r>
      <w:r>
        <w:rPr>
          <w:rFonts w:hint="eastAsia" w:ascii="仿宋" w:hAnsi="仿宋" w:eastAsia="仿宋" w:cs="仿宋"/>
          <w:color w:val="auto"/>
          <w:sz w:val="32"/>
          <w:szCs w:val="32"/>
          <w:lang w:val="en-US" w:eastAsia="zh-CN"/>
        </w:rPr>
        <w:t>8.82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u w:val="single"/>
          <w:lang w:val="en-US" w:eastAsia="zh-CN"/>
        </w:rPr>
        <w:t>100</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人员经费支出的增加。</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29、社会保障和就业支出（类）其他社会保障和就业支出（款）其他社会保障和就业支出（项）</w:t>
      </w:r>
      <w:r>
        <w:rPr>
          <w:rFonts w:hint="eastAsia" w:ascii="仿宋" w:hAnsi="仿宋" w:eastAsia="仿宋" w:cs="仿宋"/>
          <w:color w:val="auto"/>
          <w:sz w:val="32"/>
          <w:szCs w:val="32"/>
        </w:rPr>
        <w:t>年初预算为</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万元，支出决算</w:t>
      </w:r>
      <w:r>
        <w:rPr>
          <w:rFonts w:hint="eastAsia" w:ascii="仿宋" w:hAnsi="仿宋" w:eastAsia="仿宋" w:cs="仿宋"/>
          <w:color w:val="auto"/>
          <w:sz w:val="32"/>
          <w:szCs w:val="32"/>
          <w:lang w:val="en-US" w:eastAsia="zh-CN"/>
        </w:rPr>
        <w:t>132.62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人员经费支出的增加。</w:t>
      </w:r>
    </w:p>
    <w:p>
      <w:pPr>
        <w:pStyle w:val="8"/>
        <w:numPr>
          <w:ilvl w:val="0"/>
          <w:numId w:val="0"/>
        </w:num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30、医疗卫生与计划生育支出（类）行政事业单位医疗（款） 其他行政事业单位医疗支出（项）</w:t>
      </w: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万元，支出决算</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%，决算数大于年初预算数的主要原因是</w:t>
      </w:r>
      <w:r>
        <w:rPr>
          <w:rFonts w:hint="eastAsia" w:ascii="仿宋" w:hAnsi="仿宋" w:eastAsia="仿宋" w:cs="仿宋"/>
          <w:color w:val="auto"/>
          <w:sz w:val="32"/>
          <w:szCs w:val="32"/>
          <w:lang w:eastAsia="zh-CN"/>
        </w:rPr>
        <w:t>大病医疗补助的增加。</w:t>
      </w:r>
    </w:p>
    <w:p>
      <w:pPr>
        <w:pStyle w:val="8"/>
        <w:numPr>
          <w:ilvl w:val="0"/>
          <w:numId w:val="0"/>
        </w:num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31、住房保障支出（类）住房改革支出（款） 住房公积金（项）</w:t>
      </w:r>
      <w:r>
        <w:rPr>
          <w:rFonts w:hint="eastAsia" w:ascii="仿宋" w:hAnsi="仿宋" w:eastAsia="仿宋" w:cs="仿宋"/>
          <w:color w:val="auto"/>
          <w:sz w:val="32"/>
          <w:szCs w:val="32"/>
        </w:rPr>
        <w:t>年初预算为</w:t>
      </w:r>
      <w:r>
        <w:rPr>
          <w:rFonts w:hint="eastAsia" w:ascii="仿宋" w:hAnsi="仿宋" w:eastAsia="仿宋" w:cs="仿宋"/>
          <w:color w:val="auto"/>
          <w:sz w:val="32"/>
          <w:szCs w:val="32"/>
          <w:lang w:val="en-US" w:eastAsia="zh-CN"/>
        </w:rPr>
        <w:t>653.73</w:t>
      </w:r>
      <w:r>
        <w:rPr>
          <w:rFonts w:hint="eastAsia" w:ascii="仿宋" w:hAnsi="仿宋" w:eastAsia="仿宋" w:cs="仿宋"/>
          <w:color w:val="auto"/>
          <w:sz w:val="32"/>
          <w:szCs w:val="32"/>
        </w:rPr>
        <w:t>万元，支出决算</w:t>
      </w:r>
      <w:r>
        <w:rPr>
          <w:rFonts w:hint="eastAsia" w:ascii="仿宋" w:hAnsi="仿宋" w:eastAsia="仿宋" w:cs="仿宋"/>
          <w:color w:val="auto"/>
          <w:sz w:val="32"/>
          <w:szCs w:val="32"/>
          <w:lang w:val="en-US" w:eastAsia="zh-CN"/>
        </w:rPr>
        <w:t>643.48</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98.43</w:t>
      </w:r>
      <w:r>
        <w:rPr>
          <w:rFonts w:hint="eastAsia" w:ascii="仿宋" w:hAnsi="仿宋" w:eastAsia="仿宋" w:cs="仿宋"/>
          <w:color w:val="auto"/>
          <w:sz w:val="32"/>
          <w:szCs w:val="32"/>
        </w:rPr>
        <w:t>%，决算数小于年初预算数的主要原因是</w:t>
      </w:r>
      <w:r>
        <w:rPr>
          <w:rFonts w:hint="eastAsia" w:ascii="仿宋" w:hAnsi="仿宋" w:eastAsia="仿宋" w:cs="仿宋"/>
          <w:color w:val="auto"/>
          <w:sz w:val="32"/>
          <w:szCs w:val="32"/>
          <w:lang w:eastAsia="zh-CN"/>
        </w:rPr>
        <w:t>住房公积金经费基本满足人员公积金支出。</w:t>
      </w:r>
    </w:p>
    <w:p>
      <w:pPr>
        <w:pStyle w:val="8"/>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pStyle w:val="8"/>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年度财政拨款基本支出</w:t>
      </w:r>
      <w:r>
        <w:rPr>
          <w:rFonts w:hint="eastAsia" w:ascii="仿宋" w:hAnsi="仿宋" w:eastAsia="仿宋" w:cs="仿宋"/>
          <w:color w:val="auto"/>
          <w:sz w:val="32"/>
          <w:szCs w:val="32"/>
          <w:lang w:val="en-US" w:eastAsia="zh-CN"/>
        </w:rPr>
        <w:t>12518.18</w:t>
      </w:r>
      <w:r>
        <w:rPr>
          <w:rFonts w:hint="eastAsia" w:ascii="仿宋" w:hAnsi="仿宋" w:eastAsia="仿宋" w:cs="仿宋"/>
          <w:color w:val="auto"/>
          <w:sz w:val="32"/>
          <w:szCs w:val="32"/>
        </w:rPr>
        <w:t>万元，其中：人员经费</w:t>
      </w:r>
      <w:r>
        <w:rPr>
          <w:rFonts w:hint="eastAsia" w:ascii="仿宋" w:hAnsi="仿宋" w:eastAsia="仿宋" w:cs="仿宋"/>
          <w:color w:val="auto"/>
          <w:sz w:val="32"/>
          <w:szCs w:val="32"/>
          <w:lang w:val="en-US" w:eastAsia="zh-CN"/>
        </w:rPr>
        <w:t>7530.92</w:t>
      </w:r>
      <w:r>
        <w:rPr>
          <w:rFonts w:hint="eastAsia" w:ascii="仿宋" w:hAnsi="仿宋" w:eastAsia="仿宋" w:cs="仿宋"/>
          <w:color w:val="auto"/>
          <w:sz w:val="32"/>
          <w:szCs w:val="32"/>
        </w:rPr>
        <w:t>万元，占基本支出的</w:t>
      </w:r>
      <w:r>
        <w:rPr>
          <w:rFonts w:hint="eastAsia" w:ascii="仿宋" w:hAnsi="仿宋" w:eastAsia="仿宋" w:cs="仿宋"/>
          <w:color w:val="auto"/>
          <w:sz w:val="32"/>
          <w:szCs w:val="32"/>
          <w:lang w:val="en-US" w:eastAsia="zh-CN"/>
        </w:rPr>
        <w:t>60.16</w:t>
      </w:r>
      <w:r>
        <w:rPr>
          <w:rFonts w:hint="eastAsia" w:ascii="仿宋" w:hAnsi="仿宋" w:eastAsia="仿宋" w:cs="仿宋"/>
          <w:color w:val="auto"/>
          <w:sz w:val="32"/>
          <w:szCs w:val="32"/>
        </w:rPr>
        <w:t>%,主要包括基本工资、津贴补贴、奖金、伙食补助费</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；公用经费</w:t>
      </w:r>
      <w:r>
        <w:rPr>
          <w:rFonts w:hint="eastAsia" w:ascii="仿宋" w:hAnsi="仿宋" w:eastAsia="仿宋" w:cs="仿宋"/>
          <w:color w:val="auto"/>
          <w:sz w:val="32"/>
          <w:szCs w:val="32"/>
          <w:lang w:val="en-US" w:eastAsia="zh-CN"/>
        </w:rPr>
        <w:t>1434.32</w:t>
      </w:r>
      <w:r>
        <w:rPr>
          <w:rFonts w:hint="eastAsia" w:ascii="仿宋" w:hAnsi="仿宋" w:eastAsia="仿宋" w:cs="仿宋"/>
          <w:color w:val="auto"/>
          <w:sz w:val="32"/>
          <w:szCs w:val="32"/>
        </w:rPr>
        <w:t>万元，占基本支出的</w:t>
      </w:r>
      <w:r>
        <w:rPr>
          <w:rFonts w:hint="eastAsia" w:ascii="仿宋" w:hAnsi="仿宋" w:eastAsia="仿宋" w:cs="仿宋"/>
          <w:color w:val="auto"/>
          <w:sz w:val="32"/>
          <w:szCs w:val="32"/>
          <w:lang w:val="en-US" w:eastAsia="zh-CN"/>
        </w:rPr>
        <w:t>11.46</w:t>
      </w:r>
      <w:r>
        <w:rPr>
          <w:rFonts w:hint="eastAsia" w:ascii="仿宋" w:hAnsi="仿宋" w:eastAsia="仿宋" w:cs="仿宋"/>
          <w:color w:val="auto"/>
          <w:sz w:val="32"/>
          <w:szCs w:val="32"/>
        </w:rPr>
        <w:t>%，主要包括办公费、印刷费、咨询费、手续费</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lang w:val="en-US" w:eastAsia="zh-CN"/>
        </w:rPr>
        <w:t>,对个人和家庭的补助3499.36万元，占基本支出27.95%，主要包括抚恤金、医疗费补助、奖励金等，资本性支出53.59万元，占基本支出的0.43%，主要包括办公设备购置、专用设备购置等。</w:t>
      </w:r>
    </w:p>
    <w:p>
      <w:pPr>
        <w:pStyle w:val="8"/>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pStyle w:val="8"/>
        <w:spacing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（一）“三公”经费财政拨款支出决算总体情况说明</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“三公”经费财政拨款支出预算为</w:t>
      </w:r>
      <w:r>
        <w:rPr>
          <w:rFonts w:hint="eastAsia" w:ascii="仿宋" w:hAnsi="仿宋" w:eastAsia="仿宋" w:cs="仿宋"/>
          <w:color w:val="auto"/>
          <w:sz w:val="32"/>
          <w:szCs w:val="32"/>
          <w:lang w:val="en-US" w:eastAsia="zh-CN"/>
        </w:rPr>
        <w:t>319.75</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208.62</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65.24</w:t>
      </w:r>
      <w:r>
        <w:rPr>
          <w:rFonts w:hint="eastAsia" w:ascii="仿宋" w:hAnsi="仿宋" w:eastAsia="仿宋" w:cs="仿宋"/>
          <w:color w:val="auto"/>
          <w:sz w:val="32"/>
          <w:szCs w:val="32"/>
        </w:rPr>
        <w:t>%，其中：</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因公出国（境）费支出预算为</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%，决算数大于（小于）年初预算数的主要原因是……，与上年相比减少（增加）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万元，减少（增长）</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%，减少（增长）的主要原因是……。</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公务接待费支出预算</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13.89</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15.43</w:t>
      </w:r>
      <w:r>
        <w:rPr>
          <w:rFonts w:hint="eastAsia" w:ascii="仿宋" w:hAnsi="仿宋" w:eastAsia="仿宋" w:cs="仿宋"/>
          <w:color w:val="auto"/>
          <w:sz w:val="32"/>
          <w:szCs w:val="32"/>
        </w:rPr>
        <w:t>%，决算数小于年初预算数的主要原因是</w:t>
      </w:r>
      <w:r>
        <w:rPr>
          <w:rFonts w:hint="eastAsia" w:ascii="仿宋" w:hAnsi="仿宋" w:eastAsia="仿宋" w:cs="仿宋"/>
          <w:color w:val="auto"/>
          <w:sz w:val="32"/>
          <w:szCs w:val="32"/>
          <w:lang w:eastAsia="zh-CN"/>
        </w:rPr>
        <w:t>贯彻落实中央精神</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厉行节约，严控公务接待支出。</w:t>
      </w:r>
      <w:r>
        <w:rPr>
          <w:rFonts w:hint="eastAsia" w:ascii="仿宋" w:hAnsi="仿宋" w:eastAsia="仿宋" w:cs="仿宋"/>
          <w:color w:val="auto"/>
          <w:sz w:val="32"/>
          <w:szCs w:val="32"/>
        </w:rPr>
        <w:t>与上年相比减少</w:t>
      </w:r>
      <w:r>
        <w:rPr>
          <w:rFonts w:hint="eastAsia" w:ascii="仿宋" w:hAnsi="仿宋" w:eastAsia="仿宋" w:cs="仿宋"/>
          <w:color w:val="auto"/>
          <w:sz w:val="32"/>
          <w:szCs w:val="32"/>
          <w:lang w:val="en-US" w:eastAsia="zh-CN"/>
        </w:rPr>
        <w:t>56.9</w:t>
      </w:r>
      <w:r>
        <w:rPr>
          <w:rFonts w:hint="eastAsia" w:ascii="仿宋" w:hAnsi="仿宋" w:eastAsia="仿宋" w:cs="仿宋"/>
          <w:color w:val="auto"/>
          <w:sz w:val="32"/>
          <w:szCs w:val="32"/>
        </w:rPr>
        <w:t>万元，减少</w:t>
      </w:r>
      <w:r>
        <w:rPr>
          <w:rFonts w:hint="eastAsia" w:ascii="仿宋" w:hAnsi="仿宋" w:eastAsia="仿宋" w:cs="仿宋"/>
          <w:color w:val="auto"/>
          <w:sz w:val="32"/>
          <w:szCs w:val="32"/>
          <w:lang w:val="en-US" w:eastAsia="zh-CN"/>
        </w:rPr>
        <w:t>80.38</w:t>
      </w:r>
      <w:r>
        <w:rPr>
          <w:rFonts w:hint="eastAsia" w:ascii="仿宋" w:hAnsi="仿宋" w:eastAsia="仿宋" w:cs="仿宋"/>
          <w:color w:val="auto"/>
          <w:sz w:val="32"/>
          <w:szCs w:val="32"/>
        </w:rPr>
        <w:t>%,减少（增长）的主要原因是</w:t>
      </w:r>
      <w:r>
        <w:rPr>
          <w:rFonts w:hint="eastAsia" w:ascii="仿宋" w:hAnsi="仿宋" w:eastAsia="仿宋" w:cs="仿宋"/>
          <w:color w:val="auto"/>
          <w:sz w:val="32"/>
          <w:szCs w:val="32"/>
          <w:lang w:eastAsia="zh-CN"/>
        </w:rPr>
        <w:t>贯彻落实中央精神</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厉行节约，严控公务接待支出</w:t>
      </w:r>
      <w:r>
        <w:rPr>
          <w:rFonts w:hint="eastAsia" w:ascii="仿宋" w:hAnsi="仿宋" w:eastAsia="仿宋" w:cs="仿宋"/>
          <w:color w:val="auto"/>
          <w:sz w:val="32"/>
          <w:szCs w:val="32"/>
        </w:rPr>
        <w:t>。</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公务用车购置费及运行维护费支出预算为</w:t>
      </w:r>
      <w:r>
        <w:rPr>
          <w:rFonts w:hint="eastAsia" w:ascii="仿宋" w:hAnsi="仿宋" w:eastAsia="仿宋" w:cs="仿宋"/>
          <w:color w:val="auto"/>
          <w:sz w:val="32"/>
          <w:szCs w:val="32"/>
          <w:lang w:val="en-US" w:eastAsia="zh-CN"/>
        </w:rPr>
        <w:t>229.75</w:t>
      </w:r>
      <w:r>
        <w:rPr>
          <w:rFonts w:hint="eastAsia" w:ascii="仿宋" w:hAnsi="仿宋" w:eastAsia="仿宋" w:cs="仿宋"/>
          <w:color w:val="auto"/>
          <w:sz w:val="32"/>
          <w:szCs w:val="32"/>
        </w:rPr>
        <w:t>万元，支出决算为</w:t>
      </w:r>
      <w:r>
        <w:rPr>
          <w:rFonts w:hint="eastAsia" w:ascii="仿宋" w:hAnsi="仿宋" w:eastAsia="仿宋" w:cs="仿宋"/>
          <w:color w:val="auto"/>
          <w:sz w:val="32"/>
          <w:szCs w:val="32"/>
          <w:lang w:val="en-US" w:eastAsia="zh-CN"/>
        </w:rPr>
        <w:t>194.73</w:t>
      </w:r>
      <w:r>
        <w:rPr>
          <w:rFonts w:hint="eastAsia" w:ascii="仿宋" w:hAnsi="仿宋" w:eastAsia="仿宋" w:cs="仿宋"/>
          <w:color w:val="auto"/>
          <w:sz w:val="32"/>
          <w:szCs w:val="32"/>
        </w:rPr>
        <w:t>万元，完成预算的</w:t>
      </w:r>
      <w:r>
        <w:rPr>
          <w:rFonts w:hint="eastAsia" w:ascii="仿宋" w:hAnsi="仿宋" w:eastAsia="仿宋" w:cs="仿宋"/>
          <w:color w:val="auto"/>
          <w:sz w:val="32"/>
          <w:szCs w:val="32"/>
          <w:lang w:val="en-US" w:eastAsia="zh-CN"/>
        </w:rPr>
        <w:t>84.76</w:t>
      </w:r>
      <w:r>
        <w:rPr>
          <w:rFonts w:hint="eastAsia" w:ascii="仿宋" w:hAnsi="仿宋" w:eastAsia="仿宋" w:cs="仿宋"/>
          <w:color w:val="auto"/>
          <w:sz w:val="32"/>
          <w:szCs w:val="32"/>
        </w:rPr>
        <w:t>%，决算数小于年初预算数的主要原因是</w:t>
      </w:r>
      <w:r>
        <w:rPr>
          <w:rFonts w:hint="eastAsia" w:ascii="仿宋" w:hAnsi="仿宋" w:eastAsia="仿宋" w:cs="仿宋"/>
          <w:color w:val="auto"/>
          <w:sz w:val="32"/>
          <w:szCs w:val="32"/>
          <w:lang w:eastAsia="zh-CN"/>
        </w:rPr>
        <w:t>贯彻落实中央精神</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厉行节约，严控公务用车经费支出</w:t>
      </w:r>
      <w:r>
        <w:rPr>
          <w:rFonts w:hint="eastAsia" w:ascii="仿宋" w:hAnsi="仿宋" w:eastAsia="仿宋" w:cs="仿宋"/>
          <w:color w:val="auto"/>
          <w:sz w:val="32"/>
          <w:szCs w:val="32"/>
        </w:rPr>
        <w:t>，与上年相比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95.97</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97.17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rPr>
        <w:t>的主要原因是</w:t>
      </w:r>
      <w:r>
        <w:rPr>
          <w:rFonts w:hint="eastAsia" w:ascii="仿宋" w:hAnsi="仿宋" w:eastAsia="仿宋" w:cs="仿宋"/>
          <w:color w:val="auto"/>
          <w:sz w:val="32"/>
          <w:szCs w:val="32"/>
          <w:lang w:eastAsia="zh-CN"/>
        </w:rPr>
        <w:t>购置公务用车</w:t>
      </w:r>
      <w:r>
        <w:rPr>
          <w:rFonts w:hint="eastAsia" w:ascii="仿宋" w:hAnsi="仿宋" w:eastAsia="仿宋" w:cs="仿宋"/>
          <w:color w:val="auto"/>
          <w:sz w:val="32"/>
          <w:szCs w:val="32"/>
        </w:rPr>
        <w:t>。</w:t>
      </w:r>
    </w:p>
    <w:p>
      <w:pPr>
        <w:pStyle w:val="8"/>
        <w:spacing w:line="60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（二）“三公”经费财政拨款支出决算具体情况说明</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年度“三公”经费财政拨款支出决算中，公务接待费支出决算</w:t>
      </w:r>
      <w:r>
        <w:rPr>
          <w:rFonts w:hint="eastAsia" w:ascii="仿宋" w:hAnsi="仿宋" w:eastAsia="仿宋" w:cs="仿宋"/>
          <w:color w:val="auto"/>
          <w:sz w:val="32"/>
          <w:szCs w:val="32"/>
          <w:lang w:val="en-US" w:eastAsia="zh-CN"/>
        </w:rPr>
        <w:t>13.89</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6.66</w:t>
      </w:r>
      <w:r>
        <w:rPr>
          <w:rFonts w:hint="eastAsia" w:ascii="仿宋" w:hAnsi="仿宋" w:eastAsia="仿宋" w:cs="仿宋"/>
          <w:color w:val="auto"/>
          <w:sz w:val="32"/>
          <w:szCs w:val="32"/>
        </w:rPr>
        <w:t xml:space="preserve"> %,因公出国（境）费支出决算</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%,公务用车购置费及运行维护费支出决算</w:t>
      </w:r>
      <w:r>
        <w:rPr>
          <w:rFonts w:hint="eastAsia" w:ascii="仿宋" w:hAnsi="仿宋" w:eastAsia="仿宋" w:cs="仿宋"/>
          <w:color w:val="auto"/>
          <w:sz w:val="32"/>
          <w:szCs w:val="32"/>
          <w:lang w:val="en-US" w:eastAsia="zh-CN"/>
        </w:rPr>
        <w:t>194.73</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93.34</w:t>
      </w:r>
      <w:r>
        <w:rPr>
          <w:rFonts w:hint="eastAsia" w:ascii="仿宋" w:hAnsi="仿宋" w:eastAsia="仿宋" w:cs="仿宋"/>
          <w:color w:val="auto"/>
          <w:sz w:val="32"/>
          <w:szCs w:val="32"/>
        </w:rPr>
        <w:t>%。其中：</w:t>
      </w:r>
    </w:p>
    <w:p>
      <w:pPr>
        <w:pStyle w:val="8"/>
        <w:spacing w:line="600" w:lineRule="exact"/>
        <w:ind w:firstLine="640" w:firstLineChars="200"/>
        <w:rPr>
          <w:rFonts w:hint="eastAsia" w:ascii="仿宋" w:hAnsi="仿宋" w:eastAsia="仿宋" w:cs="仿宋"/>
          <w:b/>
          <w:color w:val="auto"/>
          <w:sz w:val="32"/>
          <w:szCs w:val="32"/>
        </w:rPr>
      </w:pPr>
      <w:r>
        <w:rPr>
          <w:rFonts w:hint="eastAsia" w:ascii="仿宋" w:hAnsi="仿宋" w:eastAsia="仿宋" w:cs="仿宋"/>
          <w:color w:val="auto"/>
          <w:sz w:val="32"/>
          <w:szCs w:val="32"/>
        </w:rPr>
        <w:t>1、因公出国（境）费支出决算为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万元，全年安排因公出国（境）团组</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0</w:t>
      </w:r>
      <w:r>
        <w:rPr>
          <w:rFonts w:hint="eastAsia" w:ascii="仿宋" w:hAnsi="仿宋" w:eastAsia="仿宋" w:cs="仿宋"/>
          <w:color w:val="auto"/>
          <w:sz w:val="32"/>
          <w:szCs w:val="32"/>
        </w:rPr>
        <w:t>个，累计</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人次,开支内容包括：</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……（活动名称）支出   万元，主要用于………（活动内容）</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……（可根据实际情况进行增减）</w:t>
      </w:r>
    </w:p>
    <w:p>
      <w:pPr>
        <w:pStyle w:val="8"/>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2、公务接待费支出决算为</w:t>
      </w:r>
      <w:r>
        <w:rPr>
          <w:rFonts w:hint="eastAsia" w:ascii="仿宋" w:hAnsi="仿宋" w:eastAsia="仿宋" w:cs="仿宋"/>
          <w:color w:val="auto"/>
          <w:sz w:val="32"/>
          <w:szCs w:val="32"/>
          <w:lang w:val="en-US" w:eastAsia="zh-CN"/>
        </w:rPr>
        <w:t>13.89</w:t>
      </w:r>
      <w:r>
        <w:rPr>
          <w:rFonts w:hint="eastAsia" w:ascii="仿宋" w:hAnsi="仿宋" w:eastAsia="仿宋" w:cs="仿宋"/>
          <w:color w:val="auto"/>
          <w:sz w:val="32"/>
          <w:szCs w:val="32"/>
        </w:rPr>
        <w:t>万元，全年共接待来访团组</w:t>
      </w:r>
      <w:r>
        <w:rPr>
          <w:rFonts w:hint="eastAsia" w:ascii="仿宋" w:hAnsi="仿宋" w:eastAsia="仿宋" w:cs="仿宋"/>
          <w:color w:val="auto"/>
          <w:sz w:val="32"/>
          <w:szCs w:val="32"/>
          <w:lang w:val="en-US" w:eastAsia="zh-CN"/>
        </w:rPr>
        <w:t>170</w:t>
      </w:r>
      <w:r>
        <w:rPr>
          <w:rFonts w:hint="eastAsia" w:ascii="仿宋" w:hAnsi="仿宋" w:eastAsia="仿宋" w:cs="仿宋"/>
          <w:color w:val="auto"/>
          <w:sz w:val="32"/>
          <w:szCs w:val="32"/>
        </w:rPr>
        <w:t>个、来宾</w:t>
      </w:r>
      <w:r>
        <w:rPr>
          <w:rFonts w:hint="eastAsia" w:ascii="仿宋" w:hAnsi="仿宋" w:eastAsia="仿宋" w:cs="仿宋"/>
          <w:color w:val="auto"/>
          <w:sz w:val="32"/>
          <w:szCs w:val="32"/>
          <w:lang w:val="en-US" w:eastAsia="zh-CN"/>
        </w:rPr>
        <w:t>1400</w:t>
      </w:r>
      <w:r>
        <w:rPr>
          <w:rFonts w:hint="eastAsia" w:ascii="仿宋" w:hAnsi="仿宋" w:eastAsia="仿宋" w:cs="仿宋"/>
          <w:color w:val="auto"/>
          <w:sz w:val="32"/>
          <w:szCs w:val="32"/>
        </w:rPr>
        <w:t>人次，主要是</w:t>
      </w:r>
      <w:r>
        <w:rPr>
          <w:rFonts w:hint="eastAsia" w:ascii="仿宋" w:hAnsi="仿宋" w:eastAsia="仿宋" w:cs="仿宋"/>
          <w:color w:val="auto"/>
          <w:sz w:val="32"/>
          <w:szCs w:val="32"/>
          <w:lang w:eastAsia="zh-CN"/>
        </w:rPr>
        <w:t>上级检查、同级和下级交流</w:t>
      </w:r>
      <w:r>
        <w:rPr>
          <w:rFonts w:hint="eastAsia" w:ascii="仿宋" w:hAnsi="仿宋" w:eastAsia="仿宋" w:cs="仿宋"/>
          <w:color w:val="auto"/>
          <w:sz w:val="32"/>
          <w:szCs w:val="32"/>
        </w:rPr>
        <w:t>发生的接待支出。</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sz w:val="32"/>
          <w:szCs w:val="32"/>
        </w:rPr>
        <w:t>3、公务用车购置费及运行维护费支出决算为</w:t>
      </w:r>
      <w:r>
        <w:rPr>
          <w:rFonts w:hint="eastAsia" w:ascii="仿宋" w:hAnsi="仿宋" w:eastAsia="仿宋" w:cs="仿宋"/>
          <w:sz w:val="32"/>
          <w:szCs w:val="32"/>
          <w:lang w:val="en-US" w:eastAsia="zh-CN"/>
        </w:rPr>
        <w:t>194.73</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107.75</w:t>
      </w:r>
      <w:r>
        <w:rPr>
          <w:rFonts w:hint="eastAsia" w:ascii="仿宋" w:hAnsi="仿宋" w:eastAsia="仿宋" w:cs="仿宋"/>
          <w:sz w:val="32"/>
          <w:szCs w:val="32"/>
        </w:rPr>
        <w:t>万元，本年度购执法执勤用车2台。公务用车运行维护费</w:t>
      </w:r>
      <w:r>
        <w:rPr>
          <w:rFonts w:hint="eastAsia" w:ascii="仿宋" w:hAnsi="仿宋" w:eastAsia="仿宋" w:cs="仿宋"/>
          <w:sz w:val="32"/>
          <w:szCs w:val="32"/>
          <w:lang w:val="en-US" w:eastAsia="zh-CN"/>
        </w:rPr>
        <w:t>86.98</w:t>
      </w:r>
      <w:r>
        <w:rPr>
          <w:rFonts w:hint="eastAsia" w:ascii="仿宋" w:hAnsi="仿宋" w:eastAsia="仿宋" w:cs="仿宋"/>
          <w:sz w:val="32"/>
          <w:szCs w:val="32"/>
        </w:rPr>
        <w:t>万元，主要是</w:t>
      </w:r>
      <w:r>
        <w:rPr>
          <w:rFonts w:hint="eastAsia" w:ascii="仿宋" w:hAnsi="仿宋" w:eastAsia="仿宋" w:cs="仿宋"/>
          <w:sz w:val="32"/>
          <w:szCs w:val="32"/>
          <w:lang w:eastAsia="zh-CN"/>
        </w:rPr>
        <w:t>修车费、燃油费、保险费等</w:t>
      </w:r>
      <w:r>
        <w:rPr>
          <w:rFonts w:hint="eastAsia" w:ascii="仿宋" w:hAnsi="仿宋" w:eastAsia="仿宋" w:cs="仿宋"/>
          <w:sz w:val="32"/>
          <w:szCs w:val="32"/>
        </w:rPr>
        <w:t>支出，截止</w:t>
      </w:r>
      <w:r>
        <w:rPr>
          <w:rFonts w:hint="eastAsia" w:ascii="仿宋" w:hAnsi="仿宋" w:eastAsia="仿宋" w:cs="仿宋"/>
          <w:sz w:val="32"/>
          <w:szCs w:val="32"/>
          <w:lang w:val="en-US" w:eastAsia="zh-CN"/>
        </w:rPr>
        <w:t>2018</w:t>
      </w:r>
      <w:r>
        <w:rPr>
          <w:rFonts w:hint="eastAsia" w:ascii="仿宋" w:hAnsi="仿宋" w:eastAsia="仿宋" w:cs="仿宋"/>
          <w:sz w:val="32"/>
          <w:szCs w:val="32"/>
        </w:rPr>
        <w:t>年 12月31日，我</w:t>
      </w:r>
      <w:r>
        <w:rPr>
          <w:rFonts w:hint="eastAsia" w:ascii="仿宋" w:hAnsi="仿宋" w:eastAsia="仿宋" w:cs="仿宋"/>
          <w:sz w:val="32"/>
          <w:szCs w:val="32"/>
          <w:lang w:eastAsia="zh-CN"/>
        </w:rPr>
        <w:t>部门</w:t>
      </w:r>
      <w:r>
        <w:rPr>
          <w:rFonts w:hint="eastAsia" w:ascii="仿宋" w:hAnsi="仿宋" w:eastAsia="仿宋" w:cs="仿宋"/>
          <w:sz w:val="32"/>
          <w:szCs w:val="32"/>
        </w:rPr>
        <w:t>开支财政拨款的公务用车保有量为</w:t>
      </w:r>
      <w:r>
        <w:rPr>
          <w:rFonts w:hint="eastAsia" w:ascii="仿宋" w:hAnsi="仿宋" w:eastAsia="仿宋" w:cs="仿宋"/>
          <w:sz w:val="32"/>
          <w:szCs w:val="32"/>
          <w:lang w:val="en-US" w:eastAsia="zh-CN"/>
        </w:rPr>
        <w:t>12</w:t>
      </w:r>
      <w:r>
        <w:rPr>
          <w:rFonts w:hint="eastAsia" w:ascii="仿宋" w:hAnsi="仿宋" w:eastAsia="仿宋" w:cs="仿宋"/>
          <w:sz w:val="32"/>
          <w:szCs w:val="32"/>
        </w:rPr>
        <w:t>辆。</w:t>
      </w:r>
    </w:p>
    <w:p>
      <w:pPr>
        <w:pStyle w:val="8"/>
        <w:spacing w:line="600" w:lineRule="exact"/>
        <w:ind w:firstLine="640" w:firstLineChars="200"/>
        <w:rPr>
          <w:rFonts w:hint="eastAsia" w:ascii="仿宋" w:hAnsi="仿宋" w:eastAsia="仿宋" w:cs="仿宋"/>
          <w:color w:val="auto"/>
          <w:sz w:val="32"/>
          <w:szCs w:val="32"/>
        </w:rPr>
      </w:pPr>
      <w:r>
        <w:rPr>
          <w:rFonts w:hint="eastAsia" w:ascii="黑体" w:hAnsi="黑体" w:eastAsia="黑体" w:cs="黑体"/>
          <w:color w:val="auto"/>
          <w:sz w:val="32"/>
          <w:szCs w:val="32"/>
        </w:rPr>
        <w:t>八、政府性基金预算收入支出决算情况</w:t>
      </w:r>
    </w:p>
    <w:p>
      <w:pPr>
        <w:pStyle w:val="8"/>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2018</w:t>
      </w:r>
      <w:r>
        <w:rPr>
          <w:rFonts w:hint="eastAsia" w:ascii="仿宋" w:hAnsi="仿宋" w:eastAsia="仿宋" w:cs="仿宋"/>
          <w:color w:val="auto"/>
          <w:sz w:val="32"/>
          <w:szCs w:val="32"/>
        </w:rPr>
        <w:t>年度本单位无政府性基金收支</w:t>
      </w:r>
      <w:r>
        <w:rPr>
          <w:rFonts w:hint="eastAsia" w:ascii="仿宋" w:hAnsi="仿宋" w:eastAsia="仿宋" w:cs="仿宋"/>
          <w:color w:val="auto"/>
          <w:sz w:val="32"/>
          <w:szCs w:val="32"/>
          <w:lang w:eastAsia="zh-CN"/>
        </w:rPr>
        <w:t>。</w:t>
      </w:r>
    </w:p>
    <w:p>
      <w:pPr>
        <w:pStyle w:val="8"/>
        <w:spacing w:line="600" w:lineRule="exact"/>
        <w:ind w:firstLine="640" w:firstLineChars="200"/>
        <w:rPr>
          <w:rFonts w:hint="eastAsia" w:ascii="黑体" w:hAnsi="黑体" w:eastAsia="黑体" w:cs="黑体"/>
          <w:color w:val="auto"/>
          <w:sz w:val="32"/>
          <w:szCs w:val="32"/>
        </w:rPr>
      </w:pPr>
      <w:r>
        <w:rPr>
          <w:rFonts w:hint="eastAsia" w:hAnsi="黑体" w:cs="黑体"/>
          <w:color w:val="auto"/>
          <w:sz w:val="32"/>
          <w:szCs w:val="32"/>
          <w:lang w:eastAsia="zh-CN"/>
        </w:rPr>
        <w:t>九、</w:t>
      </w:r>
      <w:r>
        <w:rPr>
          <w:rFonts w:hint="eastAsia" w:ascii="黑体" w:hAnsi="黑体" w:eastAsia="黑体" w:cs="黑体"/>
          <w:color w:val="auto"/>
          <w:sz w:val="32"/>
          <w:szCs w:val="32"/>
        </w:rPr>
        <w:t>关于</w:t>
      </w:r>
      <w:r>
        <w:rPr>
          <w:rFonts w:hint="eastAsia" w:ascii="黑体" w:hAnsi="黑体" w:eastAsia="黑体" w:cs="黑体"/>
          <w:color w:val="auto"/>
          <w:sz w:val="32"/>
          <w:szCs w:val="32"/>
          <w:lang w:val="en-US" w:eastAsia="zh-CN"/>
        </w:rPr>
        <w:t>2018</w:t>
      </w:r>
      <w:r>
        <w:rPr>
          <w:rFonts w:hint="eastAsia" w:ascii="黑体" w:hAnsi="黑体" w:eastAsia="黑体" w:cs="黑体"/>
          <w:color w:val="auto"/>
          <w:sz w:val="32"/>
          <w:szCs w:val="32"/>
        </w:rPr>
        <w:t>年度预算绩效情况说明</w:t>
      </w:r>
    </w:p>
    <w:p>
      <w:pPr>
        <w:pStyle w:val="8"/>
        <w:numPr>
          <w:ilvl w:val="0"/>
          <w:numId w:val="0"/>
        </w:numPr>
        <w:spacing w:line="600" w:lineRule="exac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b w:val="0"/>
          <w:bCs w:val="0"/>
          <w:color w:val="auto"/>
          <w:sz w:val="32"/>
          <w:szCs w:val="32"/>
          <w:lang w:val="en-US" w:eastAsia="zh-CN"/>
        </w:rPr>
        <w:t>（详细见附件）</w:t>
      </w:r>
    </w:p>
    <w:p>
      <w:pPr>
        <w:pStyle w:val="8"/>
        <w:spacing w:line="600" w:lineRule="exact"/>
        <w:ind w:firstLine="640" w:firstLineChars="200"/>
        <w:rPr>
          <w:rFonts w:hint="eastAsia" w:hAnsi="黑体" w:cs="黑体"/>
          <w:color w:val="auto"/>
          <w:sz w:val="32"/>
          <w:szCs w:val="32"/>
          <w:lang w:eastAsia="zh-CN"/>
        </w:rPr>
      </w:pPr>
      <w:r>
        <w:rPr>
          <w:rFonts w:hint="eastAsia" w:hAnsi="黑体" w:cs="黑体"/>
          <w:color w:val="auto"/>
          <w:sz w:val="32"/>
          <w:szCs w:val="32"/>
          <w:lang w:eastAsia="zh-CN"/>
        </w:rPr>
        <w:t>十、其他重要事项情况说明</w:t>
      </w:r>
    </w:p>
    <w:p>
      <w:pPr>
        <w:spacing w:line="60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（一）机关运行经费支出情况</w:t>
      </w:r>
    </w:p>
    <w:p>
      <w:pPr>
        <w:spacing w:line="600" w:lineRule="exact"/>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本部门</w:t>
      </w:r>
      <w:r>
        <w:rPr>
          <w:rFonts w:hint="eastAsia" w:ascii="仿宋" w:hAnsi="仿宋" w:eastAsia="仿宋" w:cs="仿宋"/>
          <w:b w:val="0"/>
          <w:bCs w:val="0"/>
          <w:kern w:val="0"/>
          <w:sz w:val="32"/>
          <w:szCs w:val="32"/>
          <w:lang w:val="en-US" w:eastAsia="zh-CN"/>
        </w:rPr>
        <w:t>2018</w:t>
      </w:r>
      <w:r>
        <w:rPr>
          <w:rFonts w:hint="eastAsia" w:ascii="仿宋" w:hAnsi="仿宋" w:eastAsia="仿宋" w:cs="仿宋"/>
          <w:kern w:val="0"/>
          <w:sz w:val="32"/>
          <w:szCs w:val="32"/>
        </w:rPr>
        <w:t>年度机关运行经费支出</w:t>
      </w:r>
      <w:r>
        <w:rPr>
          <w:rFonts w:hint="eastAsia" w:ascii="仿宋" w:hAnsi="仿宋" w:eastAsia="仿宋" w:cs="仿宋"/>
          <w:color w:val="auto"/>
          <w:sz w:val="32"/>
          <w:szCs w:val="32"/>
          <w:lang w:val="en-US" w:eastAsia="zh-CN"/>
        </w:rPr>
        <w:t>1462.62</w:t>
      </w:r>
      <w:r>
        <w:rPr>
          <w:rFonts w:hint="eastAsia" w:ascii="仿宋" w:hAnsi="仿宋" w:eastAsia="仿宋" w:cs="仿宋"/>
          <w:kern w:val="0"/>
          <w:sz w:val="32"/>
          <w:szCs w:val="32"/>
        </w:rPr>
        <w:t>万元（与部门决算中行政单位和参照公务员法管理事业单位一般公共预算财政拨款基本支出中公用经费之和保持衔接），比年初预算数减少</w:t>
      </w:r>
      <w:r>
        <w:rPr>
          <w:rFonts w:hint="eastAsia" w:ascii="仿宋" w:hAnsi="仿宋" w:eastAsia="仿宋" w:cs="仿宋"/>
          <w:kern w:val="0"/>
          <w:sz w:val="32"/>
          <w:szCs w:val="32"/>
          <w:lang w:val="en-US" w:eastAsia="zh-CN"/>
        </w:rPr>
        <w:t>150.94</w:t>
      </w:r>
      <w:r>
        <w:rPr>
          <w:rFonts w:hint="eastAsia" w:ascii="仿宋" w:hAnsi="仿宋" w:eastAsia="仿宋" w:cs="仿宋"/>
          <w:kern w:val="0"/>
          <w:sz w:val="32"/>
          <w:szCs w:val="32"/>
        </w:rPr>
        <w:t>万元，降低</w:t>
      </w:r>
      <w:r>
        <w:rPr>
          <w:rFonts w:hint="eastAsia" w:ascii="仿宋" w:hAnsi="仿宋" w:eastAsia="仿宋" w:cs="仿宋"/>
          <w:kern w:val="0"/>
          <w:sz w:val="32"/>
          <w:szCs w:val="32"/>
          <w:lang w:val="en-US" w:eastAsia="zh-CN"/>
        </w:rPr>
        <w:t>9.35</w:t>
      </w:r>
      <w:r>
        <w:rPr>
          <w:rFonts w:hint="eastAsia" w:ascii="仿宋" w:hAnsi="仿宋" w:eastAsia="仿宋" w:cs="仿宋"/>
          <w:kern w:val="0"/>
          <w:sz w:val="32"/>
          <w:szCs w:val="32"/>
        </w:rPr>
        <w:t xml:space="preserve"> %。主要原因是</w:t>
      </w:r>
      <w:r>
        <w:rPr>
          <w:rFonts w:hint="eastAsia" w:ascii="仿宋" w:hAnsi="仿宋" w:eastAsia="仿宋" w:cs="仿宋"/>
          <w:kern w:val="0"/>
          <w:sz w:val="32"/>
          <w:szCs w:val="32"/>
          <w:lang w:eastAsia="zh-CN"/>
        </w:rPr>
        <w:t>公用经费支出的减少。</w:t>
      </w:r>
    </w:p>
    <w:p>
      <w:pPr>
        <w:spacing w:line="60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（二）一般性支出情况</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年本部门开支会议费</w:t>
      </w:r>
      <w:r>
        <w:rPr>
          <w:rFonts w:hint="eastAsia" w:ascii="仿宋" w:hAnsi="仿宋" w:eastAsia="仿宋" w:cs="仿宋"/>
          <w:kern w:val="0"/>
          <w:sz w:val="32"/>
          <w:szCs w:val="32"/>
          <w:lang w:val="en-US" w:eastAsia="zh-CN"/>
        </w:rPr>
        <w:t>3.72</w:t>
      </w:r>
      <w:r>
        <w:rPr>
          <w:rFonts w:hint="eastAsia" w:ascii="仿宋" w:hAnsi="仿宋" w:eastAsia="仿宋" w:cs="仿宋"/>
          <w:kern w:val="0"/>
          <w:sz w:val="32"/>
          <w:szCs w:val="32"/>
        </w:rPr>
        <w:t>万元，用于召开</w:t>
      </w:r>
      <w:r>
        <w:rPr>
          <w:rFonts w:hint="eastAsia" w:ascii="仿宋" w:hAnsi="仿宋" w:eastAsia="仿宋" w:cs="仿宋"/>
          <w:kern w:val="0"/>
          <w:sz w:val="32"/>
          <w:szCs w:val="32"/>
          <w:lang w:eastAsia="zh-CN"/>
        </w:rPr>
        <w:t>业务工作</w:t>
      </w:r>
      <w:r>
        <w:rPr>
          <w:rFonts w:hint="eastAsia" w:ascii="仿宋" w:hAnsi="仿宋" w:eastAsia="仿宋" w:cs="仿宋"/>
          <w:kern w:val="0"/>
          <w:sz w:val="32"/>
          <w:szCs w:val="32"/>
        </w:rPr>
        <w:t>会议，人数</w:t>
      </w:r>
      <w:r>
        <w:rPr>
          <w:rFonts w:hint="eastAsia" w:ascii="仿宋" w:hAnsi="仿宋" w:eastAsia="仿宋" w:cs="仿宋"/>
          <w:kern w:val="0"/>
          <w:sz w:val="32"/>
          <w:szCs w:val="32"/>
          <w:lang w:val="en-US" w:eastAsia="zh-CN"/>
        </w:rPr>
        <w:t>40</w:t>
      </w:r>
      <w:r>
        <w:rPr>
          <w:rFonts w:hint="eastAsia" w:ascii="仿宋" w:hAnsi="仿宋" w:eastAsia="仿宋" w:cs="仿宋"/>
          <w:kern w:val="0"/>
          <w:sz w:val="32"/>
          <w:szCs w:val="32"/>
        </w:rPr>
        <w:t>人，内容为</w:t>
      </w:r>
      <w:r>
        <w:rPr>
          <w:rFonts w:hint="eastAsia" w:ascii="仿宋" w:hAnsi="仿宋" w:eastAsia="仿宋" w:cs="仿宋"/>
          <w:kern w:val="0"/>
          <w:sz w:val="32"/>
          <w:szCs w:val="32"/>
          <w:lang w:eastAsia="zh-CN"/>
        </w:rPr>
        <w:t>司法行政业务工作会议</w:t>
      </w:r>
      <w:r>
        <w:rPr>
          <w:rFonts w:hint="eastAsia" w:ascii="仿宋" w:hAnsi="仿宋" w:eastAsia="仿宋" w:cs="仿宋"/>
          <w:kern w:val="0"/>
          <w:sz w:val="32"/>
          <w:szCs w:val="32"/>
        </w:rPr>
        <w:t>；开支培训费</w:t>
      </w:r>
      <w:r>
        <w:rPr>
          <w:rFonts w:hint="eastAsia" w:ascii="仿宋" w:hAnsi="仿宋" w:eastAsia="仿宋" w:cs="仿宋"/>
          <w:kern w:val="0"/>
          <w:sz w:val="32"/>
          <w:szCs w:val="32"/>
          <w:lang w:val="en-US" w:eastAsia="zh-CN"/>
        </w:rPr>
        <w:t>172.90</w:t>
      </w:r>
      <w:r>
        <w:rPr>
          <w:rFonts w:hint="eastAsia" w:ascii="仿宋" w:hAnsi="仿宋" w:eastAsia="仿宋" w:cs="仿宋"/>
          <w:kern w:val="0"/>
          <w:sz w:val="32"/>
          <w:szCs w:val="32"/>
        </w:rPr>
        <w:t>万元，用于开展</w:t>
      </w:r>
      <w:r>
        <w:rPr>
          <w:rFonts w:hint="eastAsia" w:ascii="仿宋" w:hAnsi="仿宋" w:eastAsia="仿宋" w:cs="仿宋"/>
          <w:kern w:val="0"/>
          <w:sz w:val="32"/>
          <w:szCs w:val="32"/>
          <w:lang w:eastAsia="zh-CN"/>
        </w:rPr>
        <w:t>业务</w:t>
      </w:r>
      <w:r>
        <w:rPr>
          <w:rFonts w:hint="eastAsia" w:ascii="仿宋" w:hAnsi="仿宋" w:eastAsia="仿宋" w:cs="仿宋"/>
          <w:kern w:val="0"/>
          <w:sz w:val="32"/>
          <w:szCs w:val="32"/>
        </w:rPr>
        <w:t>培训</w:t>
      </w:r>
      <w:r>
        <w:rPr>
          <w:rFonts w:hint="eastAsia" w:ascii="仿宋" w:hAnsi="仿宋" w:eastAsia="仿宋" w:cs="仿宋"/>
          <w:kern w:val="0"/>
          <w:sz w:val="32"/>
          <w:szCs w:val="32"/>
          <w:lang w:eastAsia="zh-CN"/>
        </w:rPr>
        <w:t>和警衔晋升培训</w:t>
      </w:r>
      <w:r>
        <w:rPr>
          <w:rFonts w:hint="eastAsia" w:ascii="仿宋" w:hAnsi="仿宋" w:eastAsia="仿宋" w:cs="仿宋"/>
          <w:kern w:val="0"/>
          <w:sz w:val="32"/>
          <w:szCs w:val="32"/>
        </w:rPr>
        <w:t>，人数</w:t>
      </w:r>
      <w:r>
        <w:rPr>
          <w:rFonts w:hint="eastAsia" w:ascii="仿宋" w:hAnsi="仿宋" w:eastAsia="仿宋" w:cs="仿宋"/>
          <w:kern w:val="0"/>
          <w:sz w:val="32"/>
          <w:szCs w:val="32"/>
          <w:lang w:val="en-US" w:eastAsia="zh-CN"/>
        </w:rPr>
        <w:t>1300</w:t>
      </w:r>
      <w:r>
        <w:rPr>
          <w:rFonts w:hint="eastAsia" w:ascii="仿宋" w:hAnsi="仿宋" w:eastAsia="仿宋" w:cs="仿宋"/>
          <w:kern w:val="0"/>
          <w:sz w:val="32"/>
          <w:szCs w:val="32"/>
        </w:rPr>
        <w:t>人，内容为</w:t>
      </w:r>
      <w:r>
        <w:rPr>
          <w:rFonts w:hint="eastAsia" w:ascii="仿宋" w:hAnsi="仿宋" w:eastAsia="仿宋" w:cs="仿宋"/>
          <w:kern w:val="0"/>
          <w:sz w:val="32"/>
          <w:szCs w:val="32"/>
          <w:lang w:eastAsia="zh-CN"/>
        </w:rPr>
        <w:t>业务</w:t>
      </w:r>
      <w:r>
        <w:rPr>
          <w:rFonts w:hint="eastAsia" w:ascii="仿宋" w:hAnsi="仿宋" w:eastAsia="仿宋" w:cs="仿宋"/>
          <w:kern w:val="0"/>
          <w:sz w:val="32"/>
          <w:szCs w:val="32"/>
        </w:rPr>
        <w:t>培训</w:t>
      </w:r>
      <w:r>
        <w:rPr>
          <w:rFonts w:hint="eastAsia" w:ascii="仿宋" w:hAnsi="仿宋" w:eastAsia="仿宋" w:cs="仿宋"/>
          <w:kern w:val="0"/>
          <w:sz w:val="32"/>
          <w:szCs w:val="32"/>
          <w:lang w:eastAsia="zh-CN"/>
        </w:rPr>
        <w:t>和警衔晋升培训</w:t>
      </w:r>
      <w:r>
        <w:rPr>
          <w:rFonts w:hint="eastAsia" w:ascii="仿宋" w:hAnsi="仿宋" w:eastAsia="仿宋" w:cs="仿宋"/>
          <w:kern w:val="0"/>
          <w:sz w:val="32"/>
          <w:szCs w:val="32"/>
        </w:rPr>
        <w:t>；举办节庆、晚会、论坛、赛事活动，开支</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万元，主要是</w:t>
      </w:r>
      <w:r>
        <w:rPr>
          <w:rFonts w:hint="eastAsia" w:ascii="仿宋" w:hAnsi="仿宋" w:eastAsia="仿宋" w:cs="仿宋"/>
          <w:kern w:val="0"/>
          <w:sz w:val="32"/>
          <w:szCs w:val="32"/>
          <w:lang w:eastAsia="zh-CN"/>
        </w:rPr>
        <w:t>工会活动</w:t>
      </w:r>
      <w:r>
        <w:rPr>
          <w:rFonts w:hint="eastAsia" w:ascii="仿宋" w:hAnsi="仿宋" w:eastAsia="仿宋" w:cs="仿宋"/>
          <w:kern w:val="0"/>
          <w:sz w:val="32"/>
          <w:szCs w:val="32"/>
        </w:rPr>
        <w:t>。（注：三类会议、培训活动，节庆、晚会、论坛、赛事等活动，请分项列明活动计划及经费预算情况）</w:t>
      </w:r>
    </w:p>
    <w:p>
      <w:pPr>
        <w:spacing w:line="60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（三）政府采购支出情况</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本部门</w:t>
      </w: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年度政府采购支出总额</w:t>
      </w:r>
      <w:r>
        <w:rPr>
          <w:rFonts w:hint="eastAsia" w:ascii="仿宋" w:hAnsi="仿宋" w:eastAsia="仿宋" w:cs="仿宋"/>
          <w:kern w:val="0"/>
          <w:sz w:val="32"/>
          <w:szCs w:val="32"/>
          <w:lang w:val="en-US" w:eastAsia="zh-CN"/>
        </w:rPr>
        <w:t>447.97</w:t>
      </w:r>
      <w:r>
        <w:rPr>
          <w:rFonts w:hint="eastAsia" w:ascii="仿宋" w:hAnsi="仿宋" w:eastAsia="仿宋" w:cs="仿宋"/>
          <w:kern w:val="0"/>
          <w:sz w:val="32"/>
          <w:szCs w:val="32"/>
        </w:rPr>
        <w:t>万元，其中：政府采购货物支出</w:t>
      </w:r>
      <w:r>
        <w:rPr>
          <w:rFonts w:hint="eastAsia" w:ascii="仿宋" w:hAnsi="仿宋" w:eastAsia="仿宋" w:cs="仿宋"/>
          <w:kern w:val="0"/>
          <w:sz w:val="32"/>
          <w:szCs w:val="32"/>
          <w:lang w:val="en-US" w:eastAsia="zh-CN"/>
        </w:rPr>
        <w:t>291.06</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64.97%，</w:t>
      </w:r>
      <w:r>
        <w:rPr>
          <w:rFonts w:hint="eastAsia" w:ascii="仿宋" w:hAnsi="仿宋" w:eastAsia="仿宋" w:cs="仿宋"/>
          <w:kern w:val="0"/>
          <w:sz w:val="32"/>
          <w:szCs w:val="32"/>
        </w:rPr>
        <w:t>政府采购工程支出</w:t>
      </w:r>
      <w:r>
        <w:rPr>
          <w:rFonts w:hint="eastAsia" w:ascii="仿宋" w:hAnsi="仿宋" w:eastAsia="仿宋" w:cs="仿宋"/>
          <w:kern w:val="0"/>
          <w:sz w:val="32"/>
          <w:szCs w:val="32"/>
          <w:lang w:val="en-US" w:eastAsia="zh-CN"/>
        </w:rPr>
        <w:t>66</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14.73%，</w:t>
      </w:r>
      <w:r>
        <w:rPr>
          <w:rFonts w:hint="eastAsia" w:ascii="仿宋" w:hAnsi="仿宋" w:eastAsia="仿宋" w:cs="仿宋"/>
          <w:kern w:val="0"/>
          <w:sz w:val="32"/>
          <w:szCs w:val="32"/>
        </w:rPr>
        <w:t>政府采购服务支出</w:t>
      </w:r>
      <w:r>
        <w:rPr>
          <w:rFonts w:hint="eastAsia" w:ascii="仿宋" w:hAnsi="仿宋" w:eastAsia="仿宋" w:cs="仿宋"/>
          <w:kern w:val="0"/>
          <w:sz w:val="32"/>
          <w:szCs w:val="32"/>
          <w:lang w:val="en-US" w:eastAsia="zh-CN"/>
        </w:rPr>
        <w:t>90.91</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20.29%</w:t>
      </w:r>
      <w:r>
        <w:rPr>
          <w:rFonts w:hint="eastAsia" w:ascii="仿宋" w:hAnsi="仿宋" w:eastAsia="仿宋" w:cs="仿宋"/>
          <w:kern w:val="0"/>
          <w:sz w:val="32"/>
          <w:szCs w:val="32"/>
        </w:rPr>
        <w:t>。授予中小企业合同金额</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447.97</w:t>
      </w:r>
      <w:r>
        <w:rPr>
          <w:rFonts w:hint="eastAsia" w:ascii="仿宋" w:hAnsi="仿宋" w:eastAsia="仿宋" w:cs="仿宋"/>
          <w:kern w:val="0"/>
          <w:sz w:val="32"/>
          <w:szCs w:val="32"/>
        </w:rPr>
        <w:t>万元，占政府采购支出总额的</w:t>
      </w:r>
      <w:r>
        <w:rPr>
          <w:rFonts w:hint="eastAsia" w:ascii="仿宋" w:hAnsi="仿宋" w:eastAsia="仿宋" w:cs="仿宋"/>
          <w:kern w:val="0"/>
          <w:sz w:val="32"/>
          <w:szCs w:val="32"/>
          <w:lang w:val="en-US" w:eastAsia="zh-CN"/>
        </w:rPr>
        <w:t>100</w:t>
      </w:r>
      <w:bookmarkStart w:id="29" w:name="_GoBack"/>
      <w:bookmarkEnd w:id="29"/>
      <w:r>
        <w:rPr>
          <w:rFonts w:hint="eastAsia" w:ascii="仿宋" w:hAnsi="仿宋" w:eastAsia="仿宋" w:cs="仿宋"/>
          <w:kern w:val="0"/>
          <w:sz w:val="32"/>
          <w:szCs w:val="32"/>
        </w:rPr>
        <w:t>%，其中：授予小微企业合同金额</w:t>
      </w:r>
      <w:r>
        <w:rPr>
          <w:rFonts w:hint="eastAsia" w:ascii="仿宋" w:hAnsi="仿宋" w:eastAsia="仿宋" w:cs="仿宋"/>
          <w:sz w:val="32"/>
          <w:szCs w:val="32"/>
          <w:u w:val="single"/>
          <w:lang w:val="en-US" w:eastAsia="zh-CN"/>
        </w:rPr>
        <w:t>402.97</w:t>
      </w:r>
      <w:r>
        <w:rPr>
          <w:rFonts w:hint="eastAsia" w:ascii="仿宋" w:hAnsi="仿宋" w:eastAsia="仿宋" w:cs="仿宋"/>
          <w:kern w:val="0"/>
          <w:sz w:val="32"/>
          <w:szCs w:val="32"/>
        </w:rPr>
        <w:t>万元，占政府采购支出总额的</w:t>
      </w:r>
      <w:r>
        <w:rPr>
          <w:rFonts w:hint="eastAsia" w:ascii="仿宋" w:hAnsi="仿宋" w:eastAsia="仿宋" w:cs="仿宋"/>
          <w:sz w:val="32"/>
          <w:szCs w:val="32"/>
          <w:u w:val="single"/>
          <w:lang w:val="en-US" w:eastAsia="zh-CN"/>
        </w:rPr>
        <w:t>89.95</w:t>
      </w:r>
      <w:r>
        <w:rPr>
          <w:rFonts w:hint="eastAsia" w:ascii="仿宋" w:hAnsi="仿宋" w:eastAsia="仿宋" w:cs="仿宋"/>
          <w:kern w:val="0"/>
          <w:sz w:val="32"/>
          <w:szCs w:val="32"/>
        </w:rPr>
        <w:t xml:space="preserve"> %。（政府采购金额的计算口径为：本部门纳入×××年 度部门预算范围的各项政府采购支出金额之和，不包括涉密采购项目的支出金额）</w:t>
      </w:r>
    </w:p>
    <w:p>
      <w:pPr>
        <w:spacing w:line="600" w:lineRule="exact"/>
        <w:ind w:firstLine="643" w:firstLineChars="200"/>
        <w:rPr>
          <w:rFonts w:hint="eastAsia" w:ascii="仿宋" w:hAnsi="仿宋" w:eastAsia="仿宋" w:cs="仿宋"/>
          <w:b/>
          <w:kern w:val="0"/>
          <w:sz w:val="32"/>
          <w:szCs w:val="32"/>
        </w:rPr>
      </w:pPr>
      <w:r>
        <w:rPr>
          <w:rFonts w:hint="eastAsia" w:ascii="仿宋" w:hAnsi="仿宋" w:eastAsia="仿宋" w:cs="仿宋"/>
          <w:b/>
          <w:kern w:val="0"/>
          <w:sz w:val="32"/>
          <w:szCs w:val="32"/>
        </w:rPr>
        <w:t>（四）国有资产占用情况</w:t>
      </w:r>
    </w:p>
    <w:p>
      <w:pPr>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截至</w:t>
      </w: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年12月31日，本单位共有车辆</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辆，其中，领导干部用车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辆、机要通信用车</w:t>
      </w:r>
      <w:r>
        <w:rPr>
          <w:rFonts w:hint="eastAsia" w:ascii="仿宋" w:hAnsi="仿宋" w:eastAsia="仿宋" w:cs="仿宋"/>
          <w:sz w:val="32"/>
          <w:szCs w:val="32"/>
          <w:u w:val="single"/>
          <w:lang w:val="en-US" w:eastAsia="zh-CN"/>
        </w:rPr>
        <w:t>0</w:t>
      </w:r>
      <w:r>
        <w:rPr>
          <w:rFonts w:hint="eastAsia" w:ascii="仿宋" w:hAnsi="仿宋" w:eastAsia="仿宋" w:cs="仿宋"/>
          <w:kern w:val="0"/>
          <w:sz w:val="32"/>
          <w:szCs w:val="32"/>
        </w:rPr>
        <w:t>辆、应急保障用车</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kern w:val="0"/>
          <w:sz w:val="32"/>
          <w:szCs w:val="32"/>
        </w:rPr>
        <w:t>辆、执法执勤用车</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辆，其他用车主要是</w:t>
      </w:r>
      <w:r>
        <w:rPr>
          <w:rFonts w:hint="eastAsia" w:ascii="仿宋" w:hAnsi="仿宋" w:eastAsia="仿宋" w:cs="仿宋"/>
          <w:kern w:val="0"/>
          <w:sz w:val="32"/>
          <w:szCs w:val="32"/>
          <w:lang w:eastAsia="zh-CN"/>
        </w:rPr>
        <w:t>业务工作用车</w:t>
      </w:r>
      <w:r>
        <w:rPr>
          <w:rFonts w:hint="eastAsia" w:ascii="仿宋" w:hAnsi="仿宋" w:eastAsia="仿宋" w:cs="仿宋"/>
          <w:kern w:val="0"/>
          <w:sz w:val="32"/>
          <w:szCs w:val="32"/>
        </w:rPr>
        <w:t>；单位价值50万元以上通用设备</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kern w:val="0"/>
          <w:sz w:val="32"/>
          <w:szCs w:val="32"/>
        </w:rPr>
        <w:t>台（套）；单位价值100万元以上专用设备</w:t>
      </w:r>
      <w:r>
        <w:rPr>
          <w:rFonts w:hint="eastAsia" w:ascii="仿宋" w:hAnsi="仿宋" w:eastAsia="仿宋" w:cs="仿宋"/>
          <w:sz w:val="32"/>
          <w:szCs w:val="32"/>
          <w:u w:val="single"/>
          <w:lang w:val="en-US" w:eastAsia="zh-CN"/>
        </w:rPr>
        <w:t>1</w:t>
      </w:r>
      <w:r>
        <w:rPr>
          <w:rFonts w:hint="eastAsia" w:ascii="仿宋" w:hAnsi="仿宋" w:eastAsia="仿宋" w:cs="仿宋"/>
          <w:kern w:val="0"/>
          <w:sz w:val="32"/>
          <w:szCs w:val="32"/>
        </w:rPr>
        <w:t>台（套）。</w:t>
      </w: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color w:val="000000"/>
          <w:kern w:val="0"/>
          <w:sz w:val="32"/>
          <w:szCs w:val="32"/>
        </w:rPr>
      </w:pPr>
    </w:p>
    <w:p>
      <w:pPr>
        <w:widowControl/>
        <w:spacing w:line="600" w:lineRule="exact"/>
        <w:jc w:val="left"/>
        <w:rPr>
          <w:rFonts w:hint="eastAsia" w:ascii="仿宋" w:hAnsi="仿宋" w:eastAsia="仿宋" w:cs="仿宋"/>
          <w:sz w:val="32"/>
          <w:szCs w:val="32"/>
        </w:rPr>
      </w:pPr>
    </w:p>
    <w:p>
      <w:pPr>
        <w:pStyle w:val="8"/>
        <w:jc w:val="center"/>
        <w:rPr>
          <w:rFonts w:hint="eastAsia" w:ascii="仿宋" w:hAnsi="仿宋" w:eastAsia="仿宋" w:cs="仿宋"/>
          <w:sz w:val="32"/>
          <w:szCs w:val="32"/>
        </w:rPr>
      </w:pPr>
    </w:p>
    <w:p>
      <w:pPr>
        <w:pStyle w:val="8"/>
        <w:jc w:val="center"/>
        <w:rPr>
          <w:rFonts w:hint="eastAsia" w:ascii="仿宋" w:hAnsi="仿宋" w:eastAsia="仿宋" w:cs="仿宋"/>
          <w:sz w:val="32"/>
          <w:szCs w:val="32"/>
        </w:rPr>
      </w:pPr>
    </w:p>
    <w:p>
      <w:pPr>
        <w:widowControl/>
        <w:spacing w:line="600" w:lineRule="exact"/>
        <w:jc w:val="center"/>
        <w:rPr>
          <w:rFonts w:hint="eastAsia" w:ascii="仿宋" w:hAnsi="仿宋" w:eastAsia="仿宋" w:cs="仿宋"/>
          <w:bCs/>
          <w:kern w:val="0"/>
          <w:sz w:val="32"/>
          <w:szCs w:val="32"/>
        </w:rPr>
      </w:pPr>
      <w:r>
        <w:rPr>
          <w:rFonts w:hint="eastAsia" w:eastAsia="方正小标宋_GBK"/>
          <w:bCs/>
          <w:kern w:val="0"/>
          <w:sz w:val="36"/>
          <w:szCs w:val="36"/>
          <w:lang w:val="en-US" w:eastAsia="zh-CN"/>
        </w:rPr>
        <w:t>第四部分 名词解释</w:t>
      </w:r>
    </w:p>
    <w:p>
      <w:pPr>
        <w:widowControl/>
        <w:jc w:val="left"/>
        <w:rPr>
          <w:rFonts w:hint="eastAsia" w:ascii="仿宋" w:hAnsi="仿宋" w:eastAsia="仿宋" w:cs="仿宋"/>
          <w:color w:val="000000"/>
          <w:kern w:val="0"/>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公共预算是对以税收为主体的财政收入，安排用于保障和改善民生、推动经济社会发展、维护国家安全、维持国家机构正常运转等方面的收支预算。包括本级收入、上级政府对本级政府的税收返还和转移支付、下级政府的上解收入。一般公共预算支出包括地方本级支出、对上级政府的上解支出、对下级政府的税收返还和转移支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三公”经费是指中央财政按照有关规定,通过财政拨款安排给相关中央部门及其所属单位,用于因公出国(境)、公务用车购置及运行和公务接待等方面的支出。其中,因公出国(境)费反映单位工作人员公务出国(境)的住宿费、旅费、伙食补助费、杂费、培训费等支出；公务用车购置及运行费反映单位公务用车购置费及租用费、燃料费、维修费、路桥费、保险费、安全奖励费用等支出；公务接待费反映单位按规定开支的各类公务接待(含外宾接待)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机关运行经费是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（四）政府采购方式(Government purchase mode)指政府为实现采购目标而采用的方法和手段。我国《政府采购法》规定，我国的政府采购方式有：公开招标、邀请招标、竞争性谈判、单一来源采购、询价和国务院政府采购监督管理部门认定的其他采购方式。公开招标应作为政府采购的主要采购方式。</w:t>
      </w:r>
    </w:p>
    <w:p>
      <w:pPr>
        <w:widowControl/>
        <w:spacing w:line="600" w:lineRule="exact"/>
        <w:ind w:firstLine="640" w:firstLineChars="200"/>
        <w:jc w:val="both"/>
        <w:rPr>
          <w:rFonts w:hint="eastAsia" w:ascii="仿宋" w:hAnsi="仿宋" w:eastAsia="仿宋" w:cs="仿宋"/>
          <w:bCs/>
          <w:kern w:val="0"/>
          <w:sz w:val="32"/>
          <w:szCs w:val="32"/>
        </w:rPr>
      </w:pPr>
      <w:r>
        <w:rPr>
          <w:rFonts w:hint="eastAsia" w:ascii="仿宋" w:hAnsi="仿宋" w:eastAsia="仿宋" w:cs="仿宋"/>
          <w:sz w:val="32"/>
          <w:szCs w:val="32"/>
        </w:rPr>
        <w:t>（五）绩效预算是指由政府部门在明确需要履行的职能和需要消耗的资源的基础上确定绩效目标，编制绩效预算，并用量化的指标来衡量其在实施过程中取得的业绩和完成工作的情况。绩效预算是20世纪50年代伴随着关注公共支出及其结果而出现的一个概念，其核心是通过制定公共支出的绩效目标，编制绩效预算，建立预算绩效评价体系，逐步实现对财政资金从注重资金投入向注重支出效果转变。</w:t>
      </w:r>
      <w:r>
        <w:rPr>
          <w:rFonts w:hint="eastAsia" w:ascii="仿宋" w:hAnsi="仿宋" w:eastAsia="仿宋" w:cs="仿宋"/>
          <w:bCs/>
          <w:kern w:val="0"/>
          <w:sz w:val="32"/>
          <w:szCs w:val="32"/>
        </w:rPr>
        <w:br w:type="page"/>
      </w:r>
      <w:r>
        <w:rPr>
          <w:rFonts w:hint="eastAsia" w:ascii="仿宋" w:hAnsi="仿宋" w:eastAsia="仿宋" w:cs="仿宋"/>
          <w:bCs/>
          <w:kern w:val="0"/>
          <w:sz w:val="32"/>
          <w:szCs w:val="32"/>
          <w:lang w:val="en-US" w:eastAsia="zh-CN"/>
        </w:rPr>
        <w:t xml:space="preserve">               </w:t>
      </w:r>
      <w:r>
        <w:rPr>
          <w:rFonts w:hint="eastAsia" w:eastAsia="方正小标宋_GBK"/>
          <w:bCs/>
          <w:kern w:val="0"/>
          <w:sz w:val="36"/>
          <w:szCs w:val="36"/>
          <w:lang w:val="en-US" w:eastAsia="zh-CN"/>
        </w:rPr>
        <w:t>第五部分 附件</w:t>
      </w:r>
    </w:p>
    <w:p>
      <w:pPr>
        <w:jc w:val="center"/>
        <w:rPr>
          <w:rFonts w:hint="eastAsia" w:ascii="仿宋" w:hAnsi="仿宋" w:eastAsia="仿宋" w:cs="仿宋"/>
          <w:color w:val="000000"/>
          <w:kern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center"/>
        <w:textAlignment w:val="center"/>
        <w:rPr>
          <w:rFonts w:hint="eastAsia" w:ascii="仿宋" w:hAnsi="仿宋" w:eastAsia="仿宋" w:cs="仿宋"/>
          <w:b/>
          <w:bCs/>
          <w:i w:val="0"/>
          <w:iCs w:val="0"/>
          <w:caps w:val="0"/>
          <w:color w:val="333333"/>
          <w:spacing w:val="0"/>
          <w:sz w:val="32"/>
          <w:szCs w:val="32"/>
          <w:shd w:val="clear" w:fill="FFFFFF"/>
          <w:lang w:eastAsia="zh-CN"/>
        </w:rPr>
      </w:pPr>
      <w:r>
        <w:rPr>
          <w:rFonts w:hint="eastAsia" w:ascii="黑体" w:hAnsi="黑体" w:eastAsia="黑体" w:cs="黑体"/>
          <w:b/>
          <w:bCs/>
          <w:i w:val="0"/>
          <w:iCs w:val="0"/>
          <w:caps w:val="0"/>
          <w:color w:val="333333"/>
          <w:spacing w:val="0"/>
          <w:sz w:val="32"/>
          <w:szCs w:val="32"/>
          <w:shd w:val="clear" w:fill="FFFFFF"/>
          <w:lang w:eastAsia="zh-CN"/>
        </w:rPr>
        <w:t>州司法局整体支出绩效报告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center"/>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 </w:t>
      </w:r>
      <w:r>
        <w:rPr>
          <w:rFonts w:hint="eastAsia" w:ascii="黑体" w:hAnsi="黑体" w:eastAsia="黑体" w:cs="黑体"/>
          <w:b/>
          <w:bCs/>
          <w:i w:val="0"/>
          <w:iCs w:val="0"/>
          <w:caps w:val="0"/>
          <w:color w:val="333333"/>
          <w:spacing w:val="0"/>
          <w:sz w:val="32"/>
          <w:szCs w:val="32"/>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1.引言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1.1职责概述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1.2支出情况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1.3项目实施情况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2.绩效评价概述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2.1绩效评价目的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2.2绩效评价实施过程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2.3绩效评价的局限性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3.整体支出绩效评价分析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3.1投入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3.2过程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3.3产出及效率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4.需要说明事项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5.绩效评价结论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5.1绩效评价得分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5.2存在绩效问题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6.经验教训与建议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6.1经验教训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6.2建议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1、 引言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进一步规范财政资金管理，强化部门责任意识，切实提高财政资金使用效益，根据《湖南省人民政府关于全面推进预算绩效管理的意见》（湘政发[2012]33号及《湘西州财政局关于开展2018年度州本级财政资金绩效自评工作的通知》（州财绩[2019]5号）文件的相关规定，湘西自治州司法局(以下简称“本局”)于2019年5月至6月，组织力量对本单位的部门预算整体支出进行了绩效评价，本次评价遵循了“科学规范、公正公开、分类管理、绩效相关”的原则，运用较科学、合理的绩效评价指标、评价标准和评价方法，对本局2018年度部门整体支出的绩效情况进行了客观、公正的评价。现将情况汇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1.1职责概述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本局为州人民政府工作部门。机构性质为行政单位，机构级别为正处级，管理方式为公务员管理，机构代码006686293，统一社会信用代码：114331000066862939，办公地址为湖南省湘西经济开发区州府西路9号。本局下设非独立核算二级机构3个：湘西土家族苗族自治州法律援助中心、湘西土家族苗族自治州司法行政干警培训中心，该两个中心为行政单位，湘西土家族苗族自治州乾城公证处属差额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1、主要职责</w:t>
      </w:r>
      <w:r>
        <w:rPr>
          <w:rFonts w:hint="eastAsia" w:ascii="仿宋" w:hAnsi="仿宋" w:eastAsia="仿宋" w:cs="仿宋"/>
          <w:i w:val="0"/>
          <w:iCs w:val="0"/>
          <w:caps w:val="0"/>
          <w:color w:val="333333"/>
          <w:spacing w:val="0"/>
          <w:sz w:val="32"/>
          <w:szCs w:val="32"/>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①贯彻执行国家有关司法行政工作的方针、政策、法规，编制全州司法行政工作发展规划和年度计划，并实施监督。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②起草有关地方性法规、规章草案；组织实施司法行政方面的法律、法规和规章；指导司法行政系统的对外交流工作。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③监督管理吉首监狱刑罚执行、改造罪犯的工作；管理吉首监狱，并承担相应责任。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④指导管理全州强制隔离戒毒工作；指导监督全州社区戒毒（康复）工作；管理州强制隔离戒毒所，并承担相应责任。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⑤指导全州普法依法治理工作；参与社会治安综合治理工作。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⑥负责指导监督全州律师工作和公证工作，并承担相应责任；负责管理公证机构。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⑦指导监督基层司法所建设和人民调解、社区矫正、基层法律服务和帮教安置工作。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⑧监督管理全州法律援助工作。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⑨负责组织实施全州国家司法考试工作。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⑩指导管理全州司法鉴定工作。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⑪指导管理全州司法行政系统计划财务及枪支、弹药、服装和警车管理工作。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⑫指导司法行政系统队伍建设、党组织建设和思想政治工作；指导管理司法行政系统的教育培训、考核奖励和警务工作；协助县市管理司法局领导干部。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⑬承办州人民政府交办的其他事项。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i w:val="0"/>
          <w:iCs w:val="0"/>
          <w:caps w:val="0"/>
          <w:color w:val="333333"/>
          <w:spacing w:val="0"/>
          <w:sz w:val="36"/>
          <w:szCs w:val="36"/>
        </w:rPr>
      </w:pPr>
      <w:r>
        <w:rPr>
          <w:rFonts w:hint="eastAsia" w:ascii="仿宋" w:hAnsi="仿宋" w:eastAsia="仿宋" w:cs="仿宋"/>
          <w:b/>
          <w:bCs/>
          <w:i w:val="0"/>
          <w:iCs w:val="0"/>
          <w:caps w:val="0"/>
          <w:color w:val="333333"/>
          <w:spacing w:val="0"/>
          <w:sz w:val="32"/>
          <w:szCs w:val="32"/>
          <w:shd w:val="clear" w:fill="FFFFFF"/>
        </w:rPr>
        <w:t>2、内设机构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上述职责，州司法局设12个内设机构（办公室、法制宣传科、律师工作管理科、公证工作管理科、基层工作科、社区矫正工作科、国家司法考试工作科、司法鉴定工作管理科、政策法规科、计划财务装备科、监狱和强制隔离戒毒工作管理科、法律援助工作科）和政治部（下设组织干部科、警务科、教育培训科），纪检监察机构按照有关规定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3、人员编制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截止2018年12月31日，本单位经州编委核定的编制人数为70人（其中：行政编制63人，事业编制7人）。年末实际在职人员68人（其中：行政编制61人，事业编制7人）。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1.2支出情况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2018年本局部门整体支出决算数24,938,495.90元。具体明细如下：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基本支出17,576,232.12元，其中：①工资福利支出10,157,008.40元（其中：基本工资2,620,983.00元，津贴补贴3,505,613.00元，奖金262,045.00元，绩效工资88,855.00元，机关事业单位基本养老保险缴费1,104,771.32元，职业年金缴费220,618.88元，职工基本医疗保险缴费535,576.00元，公务员医疗补助缴费641,662.80元，其他社会保障缴费52,439.40元，住房公积金1,034,677.00元，其他工资福利补助支出89,767.00元）。②商品和服务支出3,397,578.52元(其中：办公费199,334.11元，印刷费7,506.00元，手续费834.00元，水费30,000.00元，电费116,148.19元，邮电费647.00元，物业管理费269,649.60元，差旅费132,056.50元，维修费174,630.20元，租赁费10,000.00元，会议费6,093.00元，培训费637,193.00元，公务接待费56,848.00元，劳务费213,001.00元，工会经费59,299.00元，福利费233,180.00元,公务用车及运行维护费138,079.90元,其他交通费用978.20元，税金及附加费用4,277.93元，其他商品和服务支出1,107,822.89元)。③对个人和家庭的补助3,962,055.20元(其中:生活补助22,036.00元，医疗费补助64,214.60元，奖励金3,018,050.00元，其他对个人和家庭的补助支出857,754.60元)。④.资本性支出59,590.00元（其中：办公设备购置59,590.00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⑵项目支出7,362,263.78元，其中：①商品和服务支出2,858,309.78元(其中：办公费579,671.26元，印刷费4,800.00元，手续费584.00元，邮电费14,294.20元，物业管理费11,048.70元，差旅费239,727.84元，租赁费5,665.00元，会议费30,485.00元，培训费176,962.90元，劳务费51,364.80元，福利费156,069.32元，公务用车运行维护费129,327.97元，其他商品和服务支出1,458,308.79元)。③资本性支出4,503,954.00元(其中房屋建筑物构建1,091,936.00元，办公设备购置1,987,449.00元,信息网络及软件购置更新1,276,505.00元，其他资本性支出148,064.00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1.3项目实施情况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2018年全州司法行政系统坚持以习近平新时代中国特色社会主义思想为指导，全面贯彻十九大、十九届二中、三中全会精神，全力落实州委州政府和省司法厅的各项工作部署，紧扣州情实际，发挥司法行政职能，以法治为引领，以改革为主线，以公共法律服务体系建设为总抓手，破难题、补短板，主动作为，各项业务工作实现全年预期目标，为我州脱贫攻坚和维护社会稳定贡献了应有力量。主要工作成绩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强政治，促脱贫。当前首要政治任务是学习贯彻习近平新时代中国特色社会主义思想。根据实际，我局组织多形式、多层次的大学习大讨论大培训活动，邀请专家授课9次，全员参与网络学习，写心得体会200余篇。结合州委部署的“干部能力提升年”活动，7月2日至8日组织全州115名司法行政干部赴中国政法大学集中学习六天。各县市司法局、监所单位积极开展了政治理论学习，进一步提升我州司法行政干部政治素质，进一步提升服务人民群众、维护社会稳定的能力。当前最大的州情是脱贫，州委决定今年是“脱贫攻坚冲刺年”。我局历来高度重视扶贫工作，今年扶贫任务是：原帮扶的花垣县补抽乡米沟村去年已经脱贫，需要继续巩固。同时新增的扶贫村--花垣县吉卫镇如腊村，目标是年内实现整村脱贫。为此，我局积极组织力量，进村入户，扎实开展扶贫工作。狠抓驻村和结对帮扶，宣讲脱贫政策，因地制宜谋划脱贫，在抓好群众满意度方面，对帮扶对象逐一上门入户，走访慰问，联络感情、宣传政策、落实政策、回应诉求，做到了全员出动，切实做好化解及稳控工作，确保2018年如期脱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抓业务，促稳定。今年，我局狠抓法治宣传、法律服务、人民调解、社区矫正、监所管理、法律援助等职能工作，大力推进依法治州进程，全力维护社会稳定。坚持普治并举，扎实推进法治湘西建设进程。在全州开展了多形式法治宣传教育活动，创新普法形式，提升全民法律素质。落实了国家机关“谁执法谁普法”的普法责任制，将法治湘西建设考核内容纳入到政府目标管理、绩效考核、综治工作中。依据制度，严格考核，推动各级各部门履行普法责任，形成了“分众普法、分别负责”的法治宣传责任模式。着力建设了法治文化阵地，七个县建成了法治文化公园和广场。州市共建峒河法治文化公园，投入约600万元，已完成主体工程，10月中旬迎接省七五普法中期督查，获得好评。化解矛盾纠纷，筑牢维稳第一道防线。全州系统认真学习“枫桥经验”，狠抓基层矛盾纠纷调解工作，继续巩固全州8个县、114个乡镇（街道）、1935个村（社区）人民调解组织建设。着力特殊人群管控，实现监管安全持续稳定。全力守住监管安全底线，吉首监狱、州强制隔离戒毒所完善了值班执勤、监管排查、生产检查和情报研判、应急处置等工作机制，构建了全覆盖、可倒查的监管责任体系，实现“四无”、“六无”目标。切实关注社会民生，提升法律服务质量，做实法律援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扫黑恶,强斗争。为将扫黑除恶专项斗争作为全系统一项政治任务抓好抓实，我局成立了扫黑除恶专项斗争领导小组，党组书记、局长任组长，其他副局长、监所单位负责人任副组长，业务科室负责人和八县市司法局长为成员。办公室负责牵头协调。研究制定了具体实施方案，各业务科室明确了“责任田”、制定了“时间表”、绘好了“施工图”，全系统以高度的政治自觉、思想自觉和行动自觉，不折不扣把各项工作任务落实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2、绩效评价概述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进一步规范财政资金管理，强化部门责任意识，切实提高财政资金使用效益，根据《湖南省人民政府关于全面推进预算绩效管理的意见》（湘政发[2012]33号及湘西自治州州财政局州财绩[2019]5号文件《湘西州财政局关于开展2018年度州本级财政资金绩效自评工作的通知》的相关规定，对本局2018年部门整体支出情况实施绩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2.1绩效评价目的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通过对2018年部门整体支出情况的绩效评价，促进部门从整体上提升预算绩效管理工作水平，强化部门整体支出责任，规范资金管理行为，提高财政资金使用效益，保障能更好地履行职责。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2.2绩效评价实施过程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湘西州财政局关于开展2018年度州本级财政资金绩效自评工作的通知》（州财绩〔2019〕5号）等相关文件要求，本单位制定了部门整体支出绩效评价的工作方案、评价指标，成立了绩效评价工作领导小组、绩效评价工作组，2019年5月22日召开了现场评价工作安排部署会，于6月28日完成自评工作。绩效评价工作主要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（1）核实数据。对2018年度部门整体支出数据的准确性、真实性进行核实，将2017年度和2018年度部门整体支出情况进行比较分析。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（2）查阅资料。查阅2018年度预算安排、预算追加、资金管理、经费支出、资产管理等相关文件资料和财务凭证。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（3）发放调查问卷。对部门履行职责情况的公众满意度向社会群众、服务对象、单位员工进行调查。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（4）归纳汇总。对收集的评价材料结合本单位情况进行综合分析、归纳汇总。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（5）根据评价材料结合各项评价指标进行分析评分。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（6）形成绩效评价自评报告。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2.3绩效评价的局限性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（1）指标设计不尽合理，导致评价结果与实际情况不一定相符。如预算控制率指标，在编制预算时，存在不可控性，执行中预算一般都有追加，而按预算控制率指标的计算公式计算，本指标基本上都大于0。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(2）社会信息的不平等性，可能导致评价结果出现差异。如发放调查问卷时，面对社会公众，而社会公众对单位情况不了解，导致调查流入形式。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（3）在设计绩效评价体系时目标的确定与量化往往带有较强的主观性与经验主义，这需要在评价过程中不断完善。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3.整体支出绩效评价分析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3.1投入（13分）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绩效目标合理性（3分）：①单位的整体绩效目标为：建立有效的司法行政工作评价激励机制，鼓励干警创造优良的工作业绩，全面加强我州司法行政队伍建设，推进我州司法行政工作健康有序发展。根据《公务员考核规定（暂行）》和有关法规，结合我州司法行政工作实际，按照管理权限，由局考核领导小组对考核对象的工作数量、质量、效率、创新等进行全面考核，考核结果作为对各科室和干警评价、奖惩、任用的重要依据。绩效考核坚持实事求是、客观公正、突出实绩的原则，实行定性与定量相结合，自我评价与组织考核相结合，平时考核与年终考核相结合。局设立绩效考核领导小组，局长任组长，其他党组成员任成员，下设考核办公室，何强志兼绩效办主任，石远喜为绩效管理员，负责考核日常工作。②严格执行国家财务制度和财经纪律，合理开支、厉行节约；③严控“三公经费”和重点费用开支，“三公经费”在去年支出基础上不增长。目标符合国家的法律法规、国民经济和社会发展总体规划，符合单位“三定”方案确定的职责，符合单位的“中长期规划”。根据评分标准该项指标计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绩效指标明确性（3分）：单位的整体绩效目标已细化分解为可量化的具体工作任务，数量指标和质量指标均通过清晰、可衡量的指标值予以体现，与本部门年度任务数相对，与部门本年度预算资金相匹配。根据评分标准该项指标计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在职人员控制率3分：本年度州人民政府办公室核定批复的机关行政编制为70名。实际在职人员68名。在职人员控制率=68/70=97.14%，在职人员控制率小于或等于100%的得满分，每超过一个百分点扣0.5分。根据评分标准该项指标计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（4）“三公经费”变动率4分：计算结果为-24.61%，根据评价标准，小于或等于0的计满分，该项指标计4分。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上年度公务接待经费预算数为40万元，本年度公务接待经费预算数为30万元，本年度实际开支56,848.00元；上年度公务用车购置及运行经费预算数为52.85万元，本年度公务用车购置及运行经费预算数为40万元，实际开支267,407.87元。因公出国（境）经费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“三公经费”变动率=（30+40）-（40+52.85）/（40+52.85）*100%=-24.61%。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3.2过程 （43分）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从预算执行到预算管理具体分析如下：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预算完成率5分，计算结果为71.35%，每低于5%扣2分，计0分。本单位年初财政拨款结转和结余660.83万元，年初预算1,310.38万元，本年追加预算1,023.32万元，年末财政拨款结转和结余1,000.67万元；本单位预算完成率=（上年结转和结余+年初预算+本年追加预算－年末结转和结余）÷（上年结转和结余+年初预算+本年追加预算）×100%＝（660.83万元+1,310.38万元+1,523.32万元-1,000.67万元）÷（660.83万元+1,310.38万元+1,523.32万元）×100%＝71.35%，根据评分标准，本单位该项指标得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（2）预算控制率5分，本部门本年预算追加数为1,523.32万元，年初预算为1,310.38万元，预算控制率=（本年预算追加数÷年初预算）×100%=1,523.32/1,310.38=116.25%。根据评分标准，本单位该项指标得0分。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（3）新建楼堂馆所面积控制率5分，2018年本单位无完工的新建楼堂馆所，根据评分标准，本单位该项指标得满分5分。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（4）新建楼堂馆所投资概算控制率5分，2018年本单位无完工的新建楼堂馆所，根据评分标准，本单位该项指标得满分5分。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公用经费控制率8分，2018年度本部门实际公用经费支出为345.72万元，年初预算安排公用经费总额为281.09万元，公用经费控制率=（实际支出公用经费总额/预算安排公用经费总额）345.72/281.09*100%=122.99%。控制率在100%以下的计满分，每超出1%扣一分，扣完为止。根据评分标准，本部门该项指标得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（6）“三公经费”控制率9分，控制率在100%以下的计满分。结果均小于100%，计9分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2018年度本单位“三公经费”实际支出数为324,255.87元（公务接待费56,848.00元、公务用车运行维护费267,407.87元），“三公经费”年初预算数为70万元（公务接待费30万元、公务用车运行维护费、公务用车购置费40万元），本单位“三公经费”控制率＝（“三公经费”实际支出数÷“三公经费”预算安排数）×100%＝324,255.87元÷700,000.00元×100%＝46.32%﹤100%，根据评分标准，本单位该项指标得满分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7）政府采购执行率6分，2018年度本单位实际政府采购金额为165.96万元，本单位已按政府集中采购相关法律、法规、制度执行，预算政府采购金额为160万元。本单位政府采购率=（实际政府采购金额/政府采购预算数）×100%=165.96÷160×100%=103.73%。根据评分标准，本单位该项指标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（8）管理制度健全性8分，制度健全计8分。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本局制定了《湘西自治州司法局财务资金管理制度》，计2分；制定了《州司法局首问责任制》、《厉行节约承诺书》计2分；还制定了《州司法局公务接待制度》、《州司法局机关公务用车管理使用制度》、《湘西州司法局五个文明建设绩效考核管理办法》等，单位制定的管理制度健全，具有较强的合法合规性和完整性，计2分；相关管理制度得到了有效地执行，计2分。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（9）资金使用合规性6分，计6分。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制定的各项支出符合国家财经法规和财务管理制度规定以及有关专项资金管理办法的规定；资金的拨付有完整的审批过程和手续；支出符合部门预算批复的用途；资金使用无截留、挤占、挪用、虚列支出等情况。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（10）预决算信息公开性5分，计5分。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按照政府对预决算规定的信息内容、时限实行公开；基础数据信息和会计信息资料真实、完整、准确。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在制度的制定上较详细，在贯彻落实厉行节约、严控三公经费、降低一般运行经费、加强项目支出管理等方面取得了一定的成绩。在预决算信息管理的公开透明方面做得较好。但在预算完成率、预算控制率和公用经费控制率上做得不是很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3.3产出及效率（24.80分）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（1）重点工作实际完成率8分，结果为98.59%，计7.89分。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根据州委办公室州办【2019】29号关于2018年度全州五个文明建设绩效考核定等结果，对本局为民办实事和重点工作考核定等为良好单位。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重点工作实际完成率=98.586/100=98.59%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重点工作实际完成得分=98.59%*8=7.89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（2）经济效益和社会效益6分，完成各项工作任务，为民办实事，计6分。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2018年全州司法行政系统坚持以习近平新时代中国特色社会主义思想为指导，全面贯彻十九大、十九届二中、三中全会精神，全力落实州委州政府和省司法厅的各项工作部署，紧扣州情实际，发挥司法行政职能，以法治为引领，以改革为主线，以公共法律服务体系建设为总抓手，破难题、补短板，主动作为，各项业务工作实现全年预期目标，为我州脱贫攻坚和维护社会稳定贡献了应有力量。当前首要政治任务是学习贯彻习近平新时代中国特色社会主义思想。根据实际，我局组织多形式、多层次的大学习大讨论大培训活动，邀请专家授课9次，全员参与网络学习，写心得体会200余篇。结合州委部署的“干部能力提升年”活动，7月2日至8日组织全州115名司法行政干部赴中国政法大学集中学习六天。各县市司法局、监所单位积极开展了政治理论学习，进一步提升我州司法行政干部政治素质，进一步提升服务人民群众、维护社会稳定的能力。当前最大的州情是脱贫，州委决定今年是“脱贫攻坚冲刺年”。我局历来高度重视扶贫工作，今年扶贫任务是：原帮扶的花垣县补抽乡米沟村去年已经脱贫，需要继续巩固。同时新增的扶贫村--花垣县吉卫镇如腊村，目标是年内实现整村脱贫。为此，我局积极组织力量，进村入户，扎实开展扶贫工作。狠抓驻村和结对帮扶，宣讲脱贫政策，因地制宜谋划脱贫，在抓好群众满意度方面，对帮扶对象逐一上门入户，走访慰问，联络感情、宣传政策、落实政策、回应诉求，做到了全员出动，切实做好化解及稳控工作，确保2018年如期脱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根据评分标准，本局该项指标得6分。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（3）行政效能得分计6分。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我局狠抓法治宣传、法律服务、人民调解、社区矫正、监所管理、法律援助等职能工作，大力推进依法治州进程，全力维护社会稳定。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①、坚持普治并举，扎实推进法治湘西建设进程。一是在全州开展了多形式法治宣传教育活动，创新普法形式，提升全民法律素质。二是落实了国家机关“谁执法谁普法”的普法责任制，将法治湘西建设考核内容纳入到政府目标管理、绩效考核、综治工作中，依据制度，严格考核，推动各级各部门履行普法责任，形成了“分众普法、分别负责”的法治宣传责任模式。三是着力建设了法治文化阵地，七个县建成了法治文化公园和广场。州市共建峒河法治文化公园，投入约600万元，已完成主体工程，10月中旬迎接省七五普法中期督查，获得好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②、化解矛盾纠纷，筑牢维稳第一道防线。全州系统认真学习“枫桥经验”，狠抓基层矛盾纠纷调解工作，继续巩固全州8个县、114个乡镇（街道）、1935个村（社区）人民调解组织建设。全州共建立各类专业性、行业性人民调解组织85个，调解工作室65个，有专兼职调解人员1145人。截止到11月底，全州各级调解组织共排查各类矛盾纠纷12978件，调处12978件，调解成功12779件，防止民间纠纷转化为刑事案件102件313人，防止群体性上访123件1662人，防止群体性械斗41件721人,防止非正常死亡23件23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③、着力特殊人群管控，实现监管安全持续稳定。全力守住监管安全底线，吉首监狱、州强制隔离戒毒所完善了值班执勤、监管排查、生产检查和情报研判、应急处置等工作机制，构建了全覆盖、可倒查的监管责任体系，实现“四无”、“六无”目标。集中组织全州1982名社区服刑人员开展教育2万余人次，进行个别谈话教育800余人次，进行心理辅导500余人次，组织社区服务1万余人次。联合州人民检察院对全州社区矫正工作进行全面督查并下发了督查通报，对发现的问题限期整改。截止目前，全州累计撤销缓刑15人，暂予监外执行收监2人，警告57人，治安管理处罚12人，实施网上追逃 3 人，收监到位6人。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④、切实关注社会民生，提升法律服务质量，做实法律援助。今年，我州进一步统筹律师、公证、司法鉴定、法律援助、人民调解等业务，着力建设全覆盖的州县乡村四级公共法律服务实体平台。全州349名律师办理各类案件2359件；8家公证机构办理公证案件4500件；全州10家司法鉴定机构办理鉴定案件3150余件，鉴定意见采信率达99%；受理各类法律援助案件1618件，其中，刑事法律援助案件744件，民事法律援助案件862件，行政案件12件，代写法律文书1500余份，接听“12348”热线电话800余次，接待来人来访3831人次，挽回和避免经济损失1200余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根据评分标准，本局该项指标得6分。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(4)社会公众或服务对象满意度6分，满意度问卷得91分。计5分。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通过向服务对象、社会公众及部门内部员工发放问卷调查，经统计对本单位的履职效果、厉行节约、信息公开等情况满意度分别为：服务对象为90%、社会群众为88%、部门内部员工为93%，社会公众或服务对象综合满意度（服务对象满意度×50%+社会公众满意度×40%+部门内部员工满意度×10%）为88%，对本单位工作开展情况、社会效益等关注程度高，满意度还好，大于90%小于100%，根据评分标准，本单位该项指标得分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4、需要说明事项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2018年度在预算完成率、预算控制率和公用经费控制率上做得不是很好扣分太多，形成原因为年初编制预算的不可控性造成。预算完成率5分，实际得0分，年初预算为1,310.38万元，而预算追加了1,523.32万元。主要也是因年初预算制定的不可控性造成。预算控制率5分,实际得0分，也是因年初预算制定的不可控性造成。公用经费控制率实际得0分，年初预算为281.09万元，而预算追加了64.63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5、绩效评价结论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5.1绩效评价得分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本局绩效评价最后得分81.89分。评价等级为：良。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5.2存在绩效问题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由于年初编制预算的不可控性，导致年内预算追加较大，使预算控制率很高，而预算完成率较低，影响单位评分及评价等次。预算控制率绩效评价设计不合理。主要原因是：一是年初预算的编制因本级财政财力原因不精确，根据财政要求，单位按财政制定的标准负责单位人员和公用经费的预算编制，预算规定的公用经费标准过低不能保证单位正常运转，使得单位要求财政年中追加，造成单位预算追加。二是上级财政专项资金的预算不列入本部门年初预算，但年度专项资金使用在本部门，导致部门决算数大于年初预算。三是本次绩效是按单位全年实际预算收入和单位年初预算相比较计算预算控制率，而本部门的全年实际预算收入中大部分是年中中央、省下拨的专项资金，这部分资金年初是不可预算的。上述因素造成预算控制率较高，如果不考虑不可控因素，就会影响本部门的评分及评价等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预算完成率绩效评价设计不合理。主要为财政资金年末结转和结余影响绩效评价问题，一是拨款时间影响，财政年底拨入的资金，单位无法当年使用，造成结余。二是项目建设资金结转的影响，项目建设不可能当年完成，大部分是跨年度使用项目资金，造成资金结余影响绩效评价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6.经验教训与建议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6.1经验教训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本局通过对2018年度部门整体支出绩效自评，我们认识到，绩效管理不只是财政支出方面，而应更加注重产出及效率，这样，有利于我们强化支出的责任，提高财政资金的使用效益，更好地促进我们履行职责。通过开展部门整体支出绩效自评，我们吸取了一些教训也收获一定的经验，主要为：一是要科学合理地编制部门预算，预算要结合本部门的事业发展计划、职责和任务测算，要确保部门预算编制真实、准确、完整，切合单位实际，本单位就因年初制定的预算与实际需求偏差太大，年度中根据实际情况申请追加了大量的预算，影响了预算的控制与执行。二是要强化绩效管理考核，围绕绩效考核目标任务，层层分解落实，明确责任领导和责任单位（科室）及责任人，强化责任意识，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确保了各项绩效考核指标保质保量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3" w:firstLineChars="200"/>
        <w:jc w:val="left"/>
        <w:textAlignment w:val="center"/>
        <w:rPr>
          <w:rFonts w:hint="eastAsia" w:ascii="仿宋" w:hAnsi="仿宋" w:eastAsia="仿宋" w:cs="仿宋"/>
          <w:b/>
          <w:bCs/>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shd w:val="clear" w:fill="FFFFFF"/>
        </w:rPr>
        <w:t>6.2建议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建议加强政策学习，提高思想认识。组织大家认真学习《预算法》等相关法规、制度，提高单位领导对全面预算管理的重视程度，增强财务人员的预算意识，坚持先有预算、后有支出，没有预算不得支出的支出理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2、建议细化预算指标，提高预算科学性。预算编制前根据年度内单位可预见的工作任务，确定单位年度预算目标，细化预算指标，科学合理编制部门预算，推进预算编制科学化、准确化。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left"/>
        <w:textAlignment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3、建议优化绩效评价指标计分标准，改善评价计分标准的不合理性，让评价结果更加公平公正。对于因上级临时性工作而追加的预算资金，因其存在不可控性，应不参与考核或从考核指标中予以剔除。</w:t>
      </w:r>
    </w:p>
    <w:p>
      <w:pPr>
        <w:ind w:firstLine="640" w:firstLineChars="200"/>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rPr>
        <w:t>4、深入实际加强调查研究，切实准确了解掌握群众之所需、之所盼，增强群众满意度工作针对性、时效性。全方位加大宣传力度，切实提高群众对司法行政工作知晓率、认知度。充分发挥职能作用，全面提升司法行政新形象。全面加强社会管理创新，更多地满足广大群众的渴求。全面加强干部队伍能力建设，为大幅提升群众满意度提供坚强保证。</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eastAsia" w:ascii="方正粗黑宋简体" w:hAnsi="方正粗黑宋简体" w:eastAsia="方正粗黑宋简体" w:cs="方正粗黑宋简体"/>
          <w:b/>
          <w:bCs/>
          <w:color w:val="000000"/>
          <w:kern w:val="0"/>
          <w:sz w:val="44"/>
          <w:szCs w:val="44"/>
        </w:rPr>
      </w:pPr>
      <w:r>
        <w:rPr>
          <w:rFonts w:hint="eastAsia" w:ascii="方正粗黑宋简体" w:hAnsi="方正粗黑宋简体" w:eastAsia="方正粗黑宋简体" w:cs="方正粗黑宋简体"/>
          <w:b/>
          <w:bCs/>
          <w:color w:val="000000"/>
          <w:kern w:val="0"/>
          <w:sz w:val="44"/>
          <w:szCs w:val="44"/>
        </w:rPr>
        <w:t>湘西州人民政府法制办公室</w:t>
      </w:r>
    </w:p>
    <w:p>
      <w:pPr>
        <w:keepNext w:val="0"/>
        <w:keepLines w:val="0"/>
        <w:pageBreakBefore w:val="0"/>
        <w:widowControl w:val="0"/>
        <w:kinsoku/>
        <w:wordWrap/>
        <w:overflowPunct/>
        <w:topLinePunct w:val="0"/>
        <w:autoSpaceDE/>
        <w:autoSpaceDN/>
        <w:bidi w:val="0"/>
        <w:adjustRightInd/>
        <w:snapToGrid/>
        <w:spacing w:line="600" w:lineRule="exact"/>
        <w:ind w:firstLine="640"/>
        <w:jc w:val="center"/>
        <w:textAlignment w:val="auto"/>
        <w:outlineLvl w:val="9"/>
        <w:rPr>
          <w:rFonts w:hint="eastAsia" w:ascii="方正粗黑宋简体" w:hAnsi="方正粗黑宋简体" w:eastAsia="方正粗黑宋简体" w:cs="方正粗黑宋简体"/>
          <w:b/>
          <w:bCs/>
          <w:color w:val="000000"/>
          <w:kern w:val="0"/>
          <w:sz w:val="44"/>
          <w:szCs w:val="44"/>
        </w:rPr>
      </w:pPr>
      <w:r>
        <w:rPr>
          <w:rFonts w:hint="eastAsia" w:ascii="方正粗黑宋简体" w:hAnsi="方正粗黑宋简体" w:eastAsia="方正粗黑宋简体" w:cs="方正粗黑宋简体"/>
          <w:b/>
          <w:bCs/>
          <w:color w:val="000000"/>
          <w:kern w:val="0"/>
          <w:sz w:val="44"/>
          <w:szCs w:val="44"/>
          <w:lang w:val="en-US" w:eastAsia="zh-CN"/>
        </w:rPr>
        <w:t>2018年</w:t>
      </w:r>
      <w:r>
        <w:rPr>
          <w:rFonts w:hint="eastAsia" w:ascii="方正粗黑宋简体" w:hAnsi="方正粗黑宋简体" w:eastAsia="方正粗黑宋简体" w:cs="方正粗黑宋简体"/>
          <w:b/>
          <w:bCs/>
          <w:color w:val="000000"/>
          <w:kern w:val="0"/>
          <w:sz w:val="44"/>
          <w:szCs w:val="44"/>
        </w:rPr>
        <w:t>部门整体支出绩效</w:t>
      </w:r>
      <w:r>
        <w:rPr>
          <w:rFonts w:hint="eastAsia" w:ascii="方正粗黑宋简体" w:hAnsi="方正粗黑宋简体" w:eastAsia="方正粗黑宋简体" w:cs="方正粗黑宋简体"/>
          <w:b/>
          <w:bCs/>
          <w:color w:val="000000"/>
          <w:kern w:val="0"/>
          <w:sz w:val="44"/>
          <w:szCs w:val="44"/>
          <w:lang w:eastAsia="zh-CN"/>
        </w:rPr>
        <w:t>自</w:t>
      </w:r>
      <w:r>
        <w:rPr>
          <w:rFonts w:hint="eastAsia" w:ascii="方正粗黑宋简体" w:hAnsi="方正粗黑宋简体" w:eastAsia="方正粗黑宋简体" w:cs="方正粗黑宋简体"/>
          <w:b/>
          <w:bCs/>
          <w:color w:val="000000"/>
          <w:kern w:val="0"/>
          <w:sz w:val="44"/>
          <w:szCs w:val="44"/>
        </w:rPr>
        <w:t>评报告</w:t>
      </w:r>
    </w:p>
    <w:p>
      <w:pPr>
        <w:ind w:firstLine="640"/>
        <w:jc w:val="center"/>
        <w:rPr>
          <w:rFonts w:hint="eastAsia" w:ascii="仿宋" w:hAnsi="仿宋" w:eastAsia="仿宋" w:cs="仿宋"/>
          <w:b/>
          <w:bCs/>
          <w:color w:val="000000"/>
          <w:kern w:val="0"/>
          <w:sz w:val="32"/>
          <w:szCs w:val="32"/>
        </w:rPr>
      </w:pPr>
    </w:p>
    <w:p>
      <w:pPr>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为提升财政资金的预算绩效管理工作水平，增强单位财政资金支出责任，规范资金管理行为，提高财政资金使用效益，提高公</w:t>
      </w:r>
      <w:r>
        <w:rPr>
          <w:rFonts w:hint="eastAsia" w:ascii="仿宋" w:hAnsi="仿宋" w:eastAsia="仿宋" w:cs="仿宋"/>
          <w:sz w:val="32"/>
          <w:szCs w:val="32"/>
        </w:rPr>
        <w:t>共服务质量，优化公共资源配置，保障部门更好的履行职责，节约公共支出成本。</w:t>
      </w:r>
      <w:r>
        <w:rPr>
          <w:rFonts w:hint="eastAsia" w:ascii="仿宋" w:hAnsi="仿宋" w:eastAsia="仿宋" w:cs="仿宋"/>
          <w:spacing w:val="-2"/>
          <w:sz w:val="32"/>
          <w:szCs w:val="32"/>
        </w:rPr>
        <w:t>根据财政部《财政支出绩效评价管理暂行办法》（财预〔2011〕285号）、《湖南省人民政府关于全面推进预算绩效管理的意见》（湘政发〔2012〕33号）、财政部《预算绩效管理工作规划（2012-2016）》（财预[2012]396号）、《湘西自治州财政局关于推进预算绩效管理的意见》（州财绩〔2012〕2号）、《党政机关厉行节约反对浪费条例》、《湘西州财政局关于开展201</w:t>
      </w:r>
      <w:r>
        <w:rPr>
          <w:rFonts w:hint="eastAsia" w:ascii="仿宋" w:hAnsi="仿宋" w:eastAsia="仿宋" w:cs="仿宋"/>
          <w:spacing w:val="-2"/>
          <w:sz w:val="32"/>
          <w:szCs w:val="32"/>
          <w:lang w:val="en-US" w:eastAsia="zh-CN"/>
        </w:rPr>
        <w:t>8</w:t>
      </w:r>
      <w:r>
        <w:rPr>
          <w:rFonts w:hint="eastAsia" w:ascii="仿宋" w:hAnsi="仿宋" w:eastAsia="仿宋" w:cs="仿宋"/>
          <w:spacing w:val="-2"/>
          <w:sz w:val="32"/>
          <w:szCs w:val="32"/>
        </w:rPr>
        <w:t>年度州本级财政资金绩效自评工作的通知》（州财绩〔201</w:t>
      </w:r>
      <w:r>
        <w:rPr>
          <w:rFonts w:hint="eastAsia" w:ascii="仿宋" w:hAnsi="仿宋" w:eastAsia="仿宋" w:cs="仿宋"/>
          <w:spacing w:val="-2"/>
          <w:sz w:val="32"/>
          <w:szCs w:val="32"/>
          <w:lang w:val="en-US" w:eastAsia="zh-CN"/>
        </w:rPr>
        <w:t>9</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5</w:t>
      </w:r>
      <w:r>
        <w:rPr>
          <w:rFonts w:hint="eastAsia" w:ascii="仿宋" w:hAnsi="仿宋" w:eastAsia="仿宋" w:cs="仿宋"/>
          <w:spacing w:val="-2"/>
          <w:sz w:val="32"/>
          <w:szCs w:val="32"/>
        </w:rPr>
        <w:t>号）等文件的要求，我单位于201</w:t>
      </w:r>
      <w:r>
        <w:rPr>
          <w:rFonts w:hint="eastAsia" w:ascii="仿宋" w:hAnsi="仿宋" w:eastAsia="仿宋" w:cs="仿宋"/>
          <w:spacing w:val="-2"/>
          <w:sz w:val="32"/>
          <w:szCs w:val="32"/>
          <w:lang w:val="en-US" w:eastAsia="zh-CN"/>
        </w:rPr>
        <w:t>9</w:t>
      </w:r>
      <w:r>
        <w:rPr>
          <w:rFonts w:hint="eastAsia" w:ascii="仿宋" w:hAnsi="仿宋" w:eastAsia="仿宋" w:cs="仿宋"/>
          <w:spacing w:val="-2"/>
          <w:sz w:val="32"/>
          <w:szCs w:val="32"/>
        </w:rPr>
        <w:t>年5至6月，组织力量对本单位的201</w:t>
      </w:r>
      <w:r>
        <w:rPr>
          <w:rFonts w:hint="eastAsia" w:ascii="仿宋" w:hAnsi="仿宋" w:eastAsia="仿宋" w:cs="仿宋"/>
          <w:spacing w:val="-2"/>
          <w:sz w:val="32"/>
          <w:szCs w:val="32"/>
          <w:lang w:val="en-US" w:eastAsia="zh-CN"/>
        </w:rPr>
        <w:t>8</w:t>
      </w:r>
      <w:r>
        <w:rPr>
          <w:rFonts w:hint="eastAsia" w:ascii="仿宋" w:hAnsi="仿宋" w:eastAsia="仿宋" w:cs="仿宋"/>
          <w:spacing w:val="-2"/>
          <w:sz w:val="32"/>
          <w:szCs w:val="32"/>
        </w:rPr>
        <w:t>年度部门预算整体支出进行了客观、公正的评价，本次评价运用科学、合理的绩效评价指标、评价标准和评价方法，遵循“科学规范、公正公开、分类管理、绩效相关”的原则。现将情况汇报如下：</w:t>
      </w:r>
    </w:p>
    <w:p>
      <w:pPr>
        <w:pageBreakBefore w:val="0"/>
        <w:widowControl w:val="0"/>
        <w:kinsoku/>
        <w:wordWrap/>
        <w:overflowPunct/>
        <w:topLinePunct w:val="0"/>
        <w:autoSpaceDE/>
        <w:autoSpaceDN/>
        <w:bidi w:val="0"/>
        <w:adjustRightInd/>
        <w:snapToGrid/>
        <w:spacing w:line="540" w:lineRule="exact"/>
        <w:ind w:firstLine="0" w:firstLineChars="0"/>
        <w:textAlignment w:val="auto"/>
        <w:outlineLvl w:val="0"/>
        <w:rPr>
          <w:rStyle w:val="10"/>
          <w:rFonts w:hint="eastAsia" w:ascii="仿宋" w:hAnsi="仿宋" w:eastAsia="仿宋" w:cs="仿宋"/>
          <w:sz w:val="32"/>
          <w:szCs w:val="32"/>
        </w:rPr>
      </w:pPr>
      <w:r>
        <w:rPr>
          <w:rStyle w:val="10"/>
          <w:rFonts w:hint="eastAsia" w:ascii="仿宋" w:hAnsi="仿宋" w:eastAsia="仿宋" w:cs="仿宋"/>
          <w:sz w:val="32"/>
          <w:szCs w:val="32"/>
        </w:rPr>
        <w:t xml:space="preserve"> </w:t>
      </w:r>
      <w:bookmarkStart w:id="0" w:name="_Toc31180"/>
      <w:r>
        <w:rPr>
          <w:rStyle w:val="10"/>
          <w:rFonts w:hint="eastAsia" w:ascii="仿宋" w:hAnsi="仿宋" w:eastAsia="仿宋" w:cs="仿宋"/>
          <w:sz w:val="32"/>
          <w:szCs w:val="32"/>
        </w:rPr>
        <w:t xml:space="preserve">  </w:t>
      </w:r>
      <w:bookmarkStart w:id="1" w:name="_Toc16664"/>
      <w:r>
        <w:rPr>
          <w:rStyle w:val="10"/>
          <w:rFonts w:hint="eastAsia" w:ascii="仿宋" w:hAnsi="仿宋" w:eastAsia="仿宋" w:cs="仿宋"/>
          <w:sz w:val="32"/>
          <w:szCs w:val="32"/>
        </w:rPr>
        <w:t>一、基本情况</w:t>
      </w:r>
      <w:bookmarkEnd w:id="0"/>
      <w:bookmarkEnd w:id="1"/>
    </w:p>
    <w:p>
      <w:pPr>
        <w:pStyle w:val="3"/>
        <w:pageBreakBefore w:val="0"/>
        <w:widowControl w:val="0"/>
        <w:kinsoku/>
        <w:wordWrap/>
        <w:overflowPunct/>
        <w:topLinePunct w:val="0"/>
        <w:autoSpaceDE/>
        <w:autoSpaceDN/>
        <w:bidi w:val="0"/>
        <w:adjustRightInd/>
        <w:snapToGrid/>
        <w:spacing w:before="0" w:beforeLines="0" w:after="0" w:afterLines="0" w:line="540" w:lineRule="exact"/>
        <w:ind w:firstLine="560"/>
        <w:textAlignment w:val="auto"/>
        <w:rPr>
          <w:rFonts w:hint="eastAsia" w:ascii="仿宋" w:hAnsi="仿宋" w:eastAsia="仿宋" w:cs="仿宋"/>
          <w:b/>
          <w:bCs/>
          <w:sz w:val="32"/>
          <w:szCs w:val="32"/>
        </w:rPr>
      </w:pPr>
      <w:bookmarkStart w:id="2" w:name="_Toc9342"/>
      <w:bookmarkStart w:id="3" w:name="_Toc24766"/>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部门职责</w:t>
      </w:r>
      <w:bookmarkEnd w:id="2"/>
      <w:bookmarkEnd w:id="3"/>
    </w:p>
    <w:p>
      <w:pPr>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pacing w:val="0"/>
          <w:sz w:val="32"/>
          <w:szCs w:val="32"/>
        </w:rPr>
      </w:pPr>
      <w:bookmarkStart w:id="4" w:name="_Toc5672"/>
      <w:r>
        <w:rPr>
          <w:rFonts w:hint="eastAsia" w:ascii="仿宋" w:hAnsi="仿宋" w:eastAsia="仿宋" w:cs="仿宋"/>
          <w:sz w:val="32"/>
          <w:szCs w:val="32"/>
        </w:rPr>
        <w:t>根据《中共湘西自治州湘西自治州人民政府关于印发&lt;湘西土家族苗族自治州人民政府职能转变和机构改革方案的实施意见&gt;的通知》（州发〔2015〕2号）、《中共湘西自治州委湘西自治州人民政府关于湘西自治州人民政府机构设置的通知》（州发〔2015〕3号）精神、湘西自治州人民政府办公室关于印发《湘西土家族苗族自治州人民政府法制办公室主要职责内设机构和人员编制规定》的通知（州政办发〔2015〕50号）文件精神，设立湘西土家族苗族自治州人民政府法制办公室。为州人民政府的工作部门，机构代码</w:t>
      </w:r>
      <w:r>
        <w:rPr>
          <w:rFonts w:hint="eastAsia" w:ascii="仿宋" w:hAnsi="仿宋" w:eastAsia="仿宋" w:cs="仿宋"/>
          <w:sz w:val="32"/>
          <w:szCs w:val="32"/>
          <w:lang w:val="en-US" w:eastAsia="zh-CN"/>
        </w:rPr>
        <w:t>11433100006686162D</w:t>
      </w:r>
      <w:r>
        <w:rPr>
          <w:rFonts w:hint="eastAsia" w:ascii="仿宋" w:hAnsi="仿宋" w:eastAsia="仿宋" w:cs="仿宋"/>
          <w:sz w:val="32"/>
          <w:szCs w:val="32"/>
        </w:rPr>
        <w:t>，办公地址为吉首市武陵西路15号。主要职责：（</w:t>
      </w:r>
      <w:r>
        <w:rPr>
          <w:rFonts w:hint="eastAsia" w:ascii="仿宋" w:hAnsi="仿宋" w:eastAsia="仿宋" w:cs="仿宋"/>
          <w:sz w:val="32"/>
          <w:szCs w:val="32"/>
          <w:lang w:val="en-US" w:eastAsia="zh-CN"/>
        </w:rPr>
        <w:t>1</w:t>
      </w:r>
      <w:r>
        <w:rPr>
          <w:rFonts w:hint="eastAsia" w:ascii="仿宋" w:hAnsi="仿宋" w:eastAsia="仿宋" w:cs="仿宋"/>
          <w:sz w:val="32"/>
          <w:szCs w:val="32"/>
        </w:rPr>
        <w:t>）承担统筹规划全州推进依法行政工作的责任。拟定州人民政府依法行政规划、年度计划，报州政府批准后组织实施。调查研究依法行政和政府法制建设中出现的新情况、新问题，提出推进依法行政的具体措施和工作建议。（</w:t>
      </w:r>
      <w:r>
        <w:rPr>
          <w:rFonts w:hint="eastAsia" w:ascii="仿宋" w:hAnsi="仿宋" w:eastAsia="仿宋" w:cs="仿宋"/>
          <w:sz w:val="32"/>
          <w:szCs w:val="32"/>
          <w:lang w:val="en-US" w:eastAsia="zh-CN"/>
        </w:rPr>
        <w:t>2</w:t>
      </w:r>
      <w:r>
        <w:rPr>
          <w:rFonts w:hint="eastAsia" w:ascii="仿宋" w:hAnsi="仿宋" w:eastAsia="仿宋" w:cs="仿宋"/>
          <w:sz w:val="32"/>
          <w:szCs w:val="32"/>
        </w:rPr>
        <w:t>）承担统筹规划州政府立法工作的责任，拟订州政府年度立法工作安排，经批准后组织实施。负责起草或者组织起草有关单行条例草案。承担单行条例草案的征求意见工作。（</w:t>
      </w:r>
      <w:r>
        <w:rPr>
          <w:rFonts w:hint="eastAsia" w:ascii="仿宋" w:hAnsi="仿宋" w:eastAsia="仿宋" w:cs="仿宋"/>
          <w:sz w:val="32"/>
          <w:szCs w:val="32"/>
          <w:lang w:val="en-US" w:eastAsia="zh-CN"/>
        </w:rPr>
        <w:t>3</w:t>
      </w:r>
      <w:r>
        <w:rPr>
          <w:rFonts w:hint="eastAsia" w:ascii="仿宋" w:hAnsi="仿宋" w:eastAsia="仿宋" w:cs="仿宋"/>
          <w:sz w:val="32"/>
          <w:szCs w:val="32"/>
        </w:rPr>
        <w:t>）指导全州规范性文件管理工作；承担州政府和州政府办公室规范性文件的合法性审查工作，承办州直单位规范性文件统一登记、统一编号工作，负责县市政府规范性文件的备案审查工作；受理有关规范性文件违法审查申请。（</w:t>
      </w:r>
      <w:r>
        <w:rPr>
          <w:rFonts w:hint="eastAsia" w:ascii="仿宋" w:hAnsi="仿宋" w:eastAsia="仿宋" w:cs="仿宋"/>
          <w:sz w:val="32"/>
          <w:szCs w:val="32"/>
          <w:lang w:val="en-US" w:eastAsia="zh-CN"/>
        </w:rPr>
        <w:t>4</w:t>
      </w:r>
      <w:r>
        <w:rPr>
          <w:rFonts w:hint="eastAsia" w:ascii="仿宋" w:hAnsi="仿宋" w:eastAsia="仿宋" w:cs="仿宋"/>
          <w:sz w:val="32"/>
          <w:szCs w:val="32"/>
        </w:rPr>
        <w:t>）会同有关部门依法指导有关行政执法监督工作和推行行政执法责任制有关工作。承担协调人民政府各部门之间和县市政府之间在法律、法规和政府规范性文件实施中的争议和问题的有关工作。（</w:t>
      </w:r>
      <w:r>
        <w:rPr>
          <w:rFonts w:hint="eastAsia" w:ascii="仿宋" w:hAnsi="仿宋" w:eastAsia="仿宋" w:cs="仿宋"/>
          <w:sz w:val="32"/>
          <w:szCs w:val="32"/>
          <w:lang w:val="en-US" w:eastAsia="zh-CN"/>
        </w:rPr>
        <w:t>5</w:t>
      </w:r>
      <w:r>
        <w:rPr>
          <w:rFonts w:hint="eastAsia" w:ascii="仿宋" w:hAnsi="仿宋" w:eastAsia="仿宋" w:cs="仿宋"/>
          <w:sz w:val="32"/>
          <w:szCs w:val="32"/>
        </w:rPr>
        <w:t>）负责依法向社会公告行政执法主体资格有关工作，会同有关部门指导全州行政执法证件管理和全州行政执法队伍建设有关工作。（</w:t>
      </w:r>
      <w:r>
        <w:rPr>
          <w:rFonts w:hint="eastAsia" w:ascii="仿宋" w:hAnsi="仿宋" w:eastAsia="仿宋" w:cs="仿宋"/>
          <w:sz w:val="32"/>
          <w:szCs w:val="32"/>
          <w:lang w:val="en-US" w:eastAsia="zh-CN"/>
        </w:rPr>
        <w:t>6</w:t>
      </w:r>
      <w:r>
        <w:rPr>
          <w:rFonts w:hint="eastAsia" w:ascii="仿宋" w:hAnsi="仿宋" w:eastAsia="仿宋" w:cs="仿宋"/>
          <w:sz w:val="32"/>
          <w:szCs w:val="32"/>
        </w:rPr>
        <w:t>）会同有关部门推进全州行政执法体制改革工作，负</w:t>
      </w:r>
      <w:r>
        <w:rPr>
          <w:rFonts w:hint="eastAsia" w:ascii="仿宋" w:hAnsi="仿宋" w:eastAsia="仿宋" w:cs="仿宋"/>
          <w:spacing w:val="0"/>
          <w:sz w:val="32"/>
          <w:szCs w:val="32"/>
        </w:rPr>
        <w:t>责做好推进相对集中行政处罚权有关工作，负责对全州开展城市管理相对集中行政处罚权工作的指导、协调、监督工作，协同有关部门开展综合执法试点。（</w:t>
      </w:r>
      <w:r>
        <w:rPr>
          <w:rFonts w:hint="eastAsia" w:ascii="仿宋" w:hAnsi="仿宋" w:eastAsia="仿宋" w:cs="仿宋"/>
          <w:spacing w:val="0"/>
          <w:sz w:val="32"/>
          <w:szCs w:val="32"/>
          <w:lang w:val="en-US" w:eastAsia="zh-CN"/>
        </w:rPr>
        <w:t>7</w:t>
      </w:r>
      <w:r>
        <w:rPr>
          <w:rFonts w:hint="eastAsia" w:ascii="仿宋" w:hAnsi="仿宋" w:eastAsia="仿宋" w:cs="仿宋"/>
          <w:spacing w:val="0"/>
          <w:sz w:val="32"/>
          <w:szCs w:val="32"/>
        </w:rPr>
        <w:t>）指导、监督全州行政复议、应诉的有关工作；承办申请人民政府裁决的行政复议案件，组织办理人民政府受理的行政赔偿案件，组织承办州人民政府的行政应诉事项。（</w:t>
      </w:r>
      <w:r>
        <w:rPr>
          <w:rFonts w:hint="eastAsia" w:ascii="仿宋" w:hAnsi="仿宋" w:eastAsia="仿宋" w:cs="仿宋"/>
          <w:spacing w:val="0"/>
          <w:sz w:val="32"/>
          <w:szCs w:val="32"/>
          <w:lang w:val="en-US" w:eastAsia="zh-CN"/>
        </w:rPr>
        <w:t>8</w:t>
      </w:r>
      <w:r>
        <w:rPr>
          <w:rFonts w:hint="eastAsia" w:ascii="仿宋" w:hAnsi="仿宋" w:eastAsia="仿宋" w:cs="仿宋"/>
          <w:spacing w:val="0"/>
          <w:sz w:val="32"/>
          <w:szCs w:val="32"/>
        </w:rPr>
        <w:t>）负责全州政府法制工作人员的业务培训。组织开展政府法制理论、政府法制工作研究和宣传，开展对外政府法制业务交流，负责政府法制信息工作。（</w:t>
      </w:r>
      <w:r>
        <w:rPr>
          <w:rFonts w:hint="eastAsia" w:ascii="仿宋" w:hAnsi="仿宋" w:eastAsia="仿宋" w:cs="仿宋"/>
          <w:spacing w:val="0"/>
          <w:sz w:val="32"/>
          <w:szCs w:val="32"/>
          <w:lang w:val="en-US" w:eastAsia="zh-CN"/>
        </w:rPr>
        <w:t>9</w:t>
      </w:r>
      <w:r>
        <w:rPr>
          <w:rFonts w:hint="eastAsia" w:ascii="仿宋" w:hAnsi="仿宋" w:eastAsia="仿宋" w:cs="仿宋"/>
          <w:spacing w:val="0"/>
          <w:sz w:val="32"/>
          <w:szCs w:val="32"/>
        </w:rPr>
        <w:t>）受州人民政府委托，承担州人民政府法律顾问工作，联系仲裁工作。（</w:t>
      </w:r>
      <w:r>
        <w:rPr>
          <w:rFonts w:hint="eastAsia" w:ascii="仿宋" w:hAnsi="仿宋" w:eastAsia="仿宋" w:cs="仿宋"/>
          <w:spacing w:val="0"/>
          <w:sz w:val="32"/>
          <w:szCs w:val="32"/>
          <w:lang w:val="en-US" w:eastAsia="zh-CN"/>
        </w:rPr>
        <w:t>10</w:t>
      </w:r>
      <w:r>
        <w:rPr>
          <w:rFonts w:hint="eastAsia" w:ascii="仿宋" w:hAnsi="仿宋" w:eastAsia="仿宋" w:cs="仿宋"/>
          <w:spacing w:val="0"/>
          <w:sz w:val="32"/>
          <w:szCs w:val="32"/>
        </w:rPr>
        <w:t>）负责对州人民政府重大行政决策进行合法性审查或者论证说明，参与州政府重大合同文本的草拟、审核。（</w:t>
      </w:r>
      <w:r>
        <w:rPr>
          <w:rFonts w:hint="eastAsia" w:ascii="仿宋" w:hAnsi="仿宋" w:eastAsia="仿宋" w:cs="仿宋"/>
          <w:spacing w:val="0"/>
          <w:sz w:val="32"/>
          <w:szCs w:val="32"/>
          <w:lang w:val="en-US" w:eastAsia="zh-CN"/>
        </w:rPr>
        <w:t>11</w:t>
      </w:r>
      <w:r>
        <w:rPr>
          <w:rFonts w:hint="eastAsia" w:ascii="仿宋" w:hAnsi="仿宋" w:eastAsia="仿宋" w:cs="仿宋"/>
          <w:spacing w:val="0"/>
          <w:sz w:val="32"/>
          <w:szCs w:val="32"/>
        </w:rPr>
        <w:t>）承办州人民政府交办的其他事项。</w:t>
      </w:r>
    </w:p>
    <w:p>
      <w:pPr>
        <w:pStyle w:val="3"/>
        <w:pageBreakBefore w:val="0"/>
        <w:widowControl w:val="0"/>
        <w:kinsoku/>
        <w:wordWrap/>
        <w:overflowPunct/>
        <w:topLinePunct w:val="0"/>
        <w:autoSpaceDE/>
        <w:autoSpaceDN/>
        <w:bidi w:val="0"/>
        <w:adjustRightInd/>
        <w:snapToGrid/>
        <w:spacing w:before="0" w:beforeLines="0" w:after="0" w:afterLines="0" w:line="540" w:lineRule="exact"/>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（二）、组织机构设置及人员情况</w:t>
      </w:r>
      <w:bookmarkEnd w:id="4"/>
    </w:p>
    <w:p>
      <w:pPr>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bookmarkStart w:id="5" w:name="_Toc7265"/>
      <w:bookmarkStart w:id="6" w:name="_Toc19785"/>
      <w:bookmarkStart w:id="7" w:name="_Toc22058"/>
      <w:r>
        <w:rPr>
          <w:rFonts w:hint="eastAsia" w:ascii="仿宋" w:hAnsi="仿宋" w:eastAsia="仿宋" w:cs="仿宋"/>
          <w:sz w:val="32"/>
          <w:szCs w:val="32"/>
          <w:lang w:val="en-US" w:eastAsia="zh-CN"/>
        </w:rPr>
        <w:t>1、</w:t>
      </w:r>
      <w:r>
        <w:rPr>
          <w:rFonts w:hint="eastAsia" w:ascii="仿宋" w:hAnsi="仿宋" w:eastAsia="仿宋" w:cs="仿宋"/>
          <w:b/>
          <w:bCs/>
          <w:sz w:val="32"/>
          <w:szCs w:val="32"/>
        </w:rPr>
        <w:t>组织机构设置</w:t>
      </w:r>
      <w:bookmarkEnd w:id="5"/>
      <w:bookmarkEnd w:id="6"/>
      <w:bookmarkEnd w:id="7"/>
    </w:p>
    <w:p>
      <w:pPr>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bookmarkStart w:id="8" w:name="_Toc9332"/>
      <w:r>
        <w:rPr>
          <w:rFonts w:hint="eastAsia" w:ascii="仿宋" w:hAnsi="仿宋" w:eastAsia="仿宋" w:cs="仿宋"/>
          <w:sz w:val="32"/>
          <w:szCs w:val="32"/>
        </w:rPr>
        <w:t>内设综合科（人事科）、立法和规范性文件管理科、依法行政指导监督科（加挂湘西土家族苗族自治州行政执法监督局牌子）、行政复议应诉科（加挂湘西土家族苗族自治州人民政府行政复议办公室牌子）。下设州人民政府法制事务中心。</w:t>
      </w:r>
    </w:p>
    <w:p>
      <w:pPr>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b/>
          <w:bCs/>
          <w:sz w:val="32"/>
          <w:szCs w:val="32"/>
        </w:rPr>
        <w:t>人员情况</w:t>
      </w:r>
      <w:bookmarkEnd w:id="8"/>
    </w:p>
    <w:p>
      <w:pPr>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bookmarkStart w:id="9" w:name="_Toc24893"/>
      <w:bookmarkStart w:id="10" w:name="_Toc11608"/>
      <w:r>
        <w:rPr>
          <w:rFonts w:hint="eastAsia" w:ascii="仿宋" w:hAnsi="仿宋" w:eastAsia="仿宋" w:cs="仿宋"/>
          <w:sz w:val="32"/>
          <w:szCs w:val="32"/>
        </w:rPr>
        <w:t>截止201</w:t>
      </w:r>
      <w:r>
        <w:rPr>
          <w:rFonts w:hint="eastAsia" w:ascii="仿宋" w:hAnsi="仿宋" w:eastAsia="仿宋" w:cs="仿宋"/>
          <w:sz w:val="32"/>
          <w:szCs w:val="32"/>
          <w:lang w:val="en-US" w:eastAsia="zh-CN"/>
        </w:rPr>
        <w:t>8</w:t>
      </w:r>
      <w:r>
        <w:rPr>
          <w:rFonts w:hint="eastAsia" w:ascii="仿宋" w:hAnsi="仿宋" w:eastAsia="仿宋" w:cs="仿宋"/>
          <w:sz w:val="32"/>
          <w:szCs w:val="32"/>
        </w:rPr>
        <w:t>年12月31日，本部门经州编委核定的编制人数为</w:t>
      </w:r>
      <w:r>
        <w:rPr>
          <w:rFonts w:hint="eastAsia" w:ascii="仿宋" w:hAnsi="仿宋" w:eastAsia="仿宋" w:cs="仿宋"/>
          <w:sz w:val="32"/>
          <w:szCs w:val="32"/>
          <w:lang w:val="en-US" w:eastAsia="zh-CN"/>
        </w:rPr>
        <w:t>13</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7</w:t>
      </w:r>
      <w:r>
        <w:rPr>
          <w:rFonts w:hint="eastAsia" w:ascii="仿宋" w:hAnsi="仿宋" w:eastAsia="仿宋" w:cs="仿宋"/>
          <w:sz w:val="32"/>
          <w:szCs w:val="32"/>
        </w:rPr>
        <w:t>人，事业编制人员</w:t>
      </w:r>
      <w:r>
        <w:rPr>
          <w:rFonts w:hint="eastAsia" w:ascii="仿宋" w:hAnsi="仿宋" w:eastAsia="仿宋" w:cs="仿宋"/>
          <w:sz w:val="32"/>
          <w:szCs w:val="32"/>
          <w:lang w:val="en-US" w:eastAsia="zh-CN"/>
        </w:rPr>
        <w:t>6</w:t>
      </w:r>
      <w:r>
        <w:rPr>
          <w:rFonts w:hint="eastAsia" w:ascii="仿宋" w:hAnsi="仿宋" w:eastAsia="仿宋" w:cs="仿宋"/>
          <w:sz w:val="32"/>
          <w:szCs w:val="32"/>
        </w:rPr>
        <w:t>人；年末在职实有人数</w:t>
      </w:r>
      <w:r>
        <w:rPr>
          <w:rFonts w:hint="eastAsia" w:ascii="仿宋" w:hAnsi="仿宋" w:eastAsia="仿宋" w:cs="仿宋"/>
          <w:sz w:val="32"/>
          <w:szCs w:val="32"/>
          <w:lang w:val="en-US" w:eastAsia="zh-CN"/>
        </w:rPr>
        <w:t>11</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8</w:t>
      </w:r>
      <w:r>
        <w:rPr>
          <w:rFonts w:hint="eastAsia" w:ascii="仿宋" w:hAnsi="仿宋" w:eastAsia="仿宋" w:cs="仿宋"/>
          <w:sz w:val="32"/>
          <w:szCs w:val="32"/>
        </w:rPr>
        <w:t>人</w:t>
      </w:r>
      <w:r>
        <w:rPr>
          <w:rFonts w:hint="eastAsia" w:ascii="仿宋" w:hAnsi="仿宋" w:eastAsia="仿宋" w:cs="仿宋"/>
          <w:sz w:val="32"/>
          <w:szCs w:val="32"/>
          <w:lang w:eastAsia="zh-CN"/>
        </w:rPr>
        <w:t>、事业编制</w:t>
      </w:r>
      <w:r>
        <w:rPr>
          <w:rFonts w:hint="eastAsia" w:ascii="仿宋" w:hAnsi="仿宋" w:eastAsia="仿宋" w:cs="仿宋"/>
          <w:sz w:val="32"/>
          <w:szCs w:val="32"/>
          <w:lang w:val="en-US" w:eastAsia="zh-CN"/>
        </w:rPr>
        <w:t>3人</w:t>
      </w:r>
      <w:r>
        <w:rPr>
          <w:rFonts w:hint="eastAsia" w:ascii="仿宋" w:hAnsi="仿宋" w:eastAsia="仿宋" w:cs="仿宋"/>
          <w:sz w:val="32"/>
          <w:szCs w:val="32"/>
        </w:rPr>
        <w:t xml:space="preserve">。    </w:t>
      </w:r>
    </w:p>
    <w:p>
      <w:pPr>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outlineLvl w:val="1"/>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部门整体预决算收支情况</w:t>
      </w:r>
      <w:bookmarkEnd w:id="9"/>
    </w:p>
    <w:p>
      <w:pPr>
        <w:pageBreakBefore w:val="0"/>
        <w:widowControl w:val="0"/>
        <w:kinsoku/>
        <w:wordWrap/>
        <w:overflowPunct/>
        <w:topLinePunct w:val="0"/>
        <w:autoSpaceDE/>
        <w:autoSpaceDN/>
        <w:bidi w:val="0"/>
        <w:adjustRightInd/>
        <w:snapToGrid/>
        <w:spacing w:line="540" w:lineRule="exact"/>
        <w:ind w:left="640" w:firstLine="0" w:firstLineChars="0"/>
        <w:jc w:val="both"/>
        <w:textAlignment w:val="auto"/>
        <w:outlineLvl w:val="2"/>
        <w:rPr>
          <w:rFonts w:hint="eastAsia" w:ascii="仿宋" w:hAnsi="仿宋" w:eastAsia="仿宋" w:cs="仿宋"/>
          <w:sz w:val="32"/>
          <w:szCs w:val="32"/>
        </w:rPr>
      </w:pPr>
      <w:bookmarkStart w:id="11" w:name="_Toc31801"/>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年初预算收支情况</w:t>
      </w:r>
      <w:bookmarkEnd w:id="10"/>
      <w:bookmarkEnd w:id="11"/>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pageBreakBefore w:val="0"/>
        <w:widowControl w:val="0"/>
        <w:kinsoku/>
        <w:wordWrap/>
        <w:overflowPunct/>
        <w:topLinePunct w:val="0"/>
        <w:autoSpaceDE/>
        <w:autoSpaceDN/>
        <w:bidi w:val="0"/>
        <w:adjustRightInd/>
        <w:snapToGrid/>
        <w:spacing w:line="540" w:lineRule="exact"/>
        <w:jc w:val="both"/>
        <w:textAlignment w:val="auto"/>
        <w:outlineLvl w:val="1"/>
        <w:rPr>
          <w:rFonts w:hint="eastAsia" w:ascii="仿宋" w:hAnsi="仿宋" w:eastAsia="仿宋" w:cs="仿宋"/>
          <w:sz w:val="32"/>
          <w:szCs w:val="32"/>
        </w:rPr>
      </w:pPr>
      <w:r>
        <w:rPr>
          <w:rFonts w:hint="eastAsia" w:ascii="仿宋" w:hAnsi="仿宋" w:eastAsia="仿宋" w:cs="仿宋"/>
          <w:sz w:val="32"/>
          <w:szCs w:val="32"/>
        </w:rPr>
        <w:t>本单位201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年年初预算收支情况为：</w:t>
      </w:r>
      <w:r>
        <w:rPr>
          <w:rFonts w:hint="eastAsia" w:ascii="仿宋" w:hAnsi="仿宋" w:eastAsia="仿宋" w:cs="仿宋"/>
          <w:sz w:val="32"/>
          <w:szCs w:val="32"/>
          <w:lang w:val="en-US" w:eastAsia="zh-CN"/>
        </w:rPr>
        <w:t xml:space="preserve">              </w:t>
      </w:r>
      <w:r>
        <w:rPr>
          <w:rFonts w:hint="eastAsia" w:ascii="仿宋" w:hAnsi="仿宋" w:eastAsia="仿宋" w:cs="仿宋"/>
          <w:b w:val="0"/>
          <w:bCs/>
          <w:i w:val="0"/>
          <w:color w:val="000000"/>
          <w:kern w:val="0"/>
          <w:sz w:val="32"/>
          <w:szCs w:val="32"/>
          <w:u w:val="none"/>
          <w:lang w:val="en-US" w:eastAsia="zh-CN" w:bidi="ar"/>
        </w:rPr>
        <w:t>单位：万元</w:t>
      </w:r>
      <w:r>
        <w:rPr>
          <w:rFonts w:hint="eastAsia" w:ascii="仿宋" w:hAnsi="仿宋" w:eastAsia="仿宋" w:cs="仿宋"/>
          <w:sz w:val="32"/>
          <w:szCs w:val="32"/>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8"/>
        <w:gridCol w:w="1562"/>
        <w:gridCol w:w="2672"/>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收入项目</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金额（万元）</w:t>
            </w: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支出项目</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一般预算拨款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197.37</w:t>
            </w: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一、基本支出</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960" w:firstLineChars="3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预算拨款（补助）</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lang w:val="en-US"/>
              </w:rPr>
            </w:pPr>
            <w:r>
              <w:rPr>
                <w:rFonts w:hint="eastAsia" w:ascii="仿宋" w:hAnsi="仿宋" w:eastAsia="仿宋" w:cs="仿宋"/>
                <w:i w:val="0"/>
                <w:color w:val="000000"/>
                <w:kern w:val="0"/>
                <w:sz w:val="32"/>
                <w:szCs w:val="32"/>
                <w:u w:val="none"/>
                <w:lang w:val="en-US" w:eastAsia="zh-CN" w:bidi="ar"/>
              </w:rPr>
              <w:t>197.37</w:t>
            </w: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工资福利支出</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132.49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纳入公共预算管理的非税收入拨款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lang w:val="en-US" w:eastAsia="zh-CN"/>
              </w:rPr>
            </w:pP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商品和服务支出</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rPr>
            </w:pP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rPr>
            </w:pP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对个人和家庭补助</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二、基金</w:t>
            </w:r>
            <w:r>
              <w:rPr>
                <w:rFonts w:hint="eastAsia" w:ascii="仿宋" w:hAnsi="仿宋" w:eastAsia="仿宋" w:cs="仿宋"/>
                <w:sz w:val="32"/>
                <w:szCs w:val="32"/>
                <w:lang w:val="en-US" w:eastAsia="zh-CN"/>
              </w:rPr>
              <w:t>预算拨款</w:t>
            </w:r>
            <w:r>
              <w:rPr>
                <w:rFonts w:hint="eastAsia" w:ascii="仿宋" w:hAnsi="仿宋" w:eastAsia="仿宋" w:cs="仿宋"/>
                <w:sz w:val="32"/>
                <w:szCs w:val="32"/>
              </w:rPr>
              <w:t>拨款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rPr>
            </w:pP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二、项目支出</w:t>
            </w:r>
          </w:p>
        </w:tc>
        <w:tc>
          <w:tcPr>
            <w:tcW w:w="1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right"/>
              <w:textAlignment w:val="center"/>
              <w:outlineLvl w:val="9"/>
              <w:rPr>
                <w:rFonts w:hint="eastAsia" w:ascii="仿宋" w:hAnsi="仿宋" w:eastAsia="仿宋" w:cs="仿宋"/>
                <w:sz w:val="32"/>
                <w:szCs w:val="32"/>
                <w:lang w:val="en-US" w:eastAsia="zh-CN"/>
              </w:rPr>
            </w:pPr>
            <w:r>
              <w:rPr>
                <w:rFonts w:hint="eastAsia" w:ascii="仿宋" w:hAnsi="仿宋" w:eastAsia="仿宋" w:cs="仿宋"/>
                <w:i w:val="0"/>
                <w:color w:val="000000"/>
                <w:kern w:val="0"/>
                <w:sz w:val="32"/>
                <w:szCs w:val="32"/>
                <w:u w:val="none"/>
                <w:lang w:val="en-US" w:eastAsia="zh-CN" w:bidi="ar"/>
              </w:rPr>
              <w:t>29.16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rPr>
              <w:t>三、财政专户管理的非税收入拨款</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sz w:val="32"/>
                <w:szCs w:val="32"/>
              </w:rPr>
            </w:pPr>
          </w:p>
        </w:tc>
        <w:tc>
          <w:tcPr>
            <w:tcW w:w="26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640" w:firstLineChars="200"/>
              <w:jc w:val="left"/>
              <w:textAlignment w:val="center"/>
              <w:outlineLvl w:val="9"/>
              <w:rPr>
                <w:rFonts w:hint="eastAsia" w:ascii="仿宋" w:hAnsi="仿宋" w:eastAsia="仿宋" w:cs="仿宋"/>
                <w:sz w:val="32"/>
                <w:szCs w:val="32"/>
                <w:lang w:val="en-US"/>
              </w:rPr>
            </w:pPr>
            <w:r>
              <w:rPr>
                <w:rFonts w:hint="eastAsia" w:ascii="仿宋" w:hAnsi="仿宋" w:eastAsia="仿宋" w:cs="仿宋"/>
                <w:i w:val="0"/>
                <w:color w:val="000000"/>
                <w:sz w:val="32"/>
                <w:szCs w:val="32"/>
                <w:u w:val="none"/>
                <w:lang w:val="en-US" w:eastAsia="zh-CN"/>
              </w:rPr>
              <w:t>基本建设类项目</w:t>
            </w:r>
          </w:p>
        </w:tc>
        <w:tc>
          <w:tcPr>
            <w:tcW w:w="1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right"/>
              <w:textAlignment w:val="center"/>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32"/>
                <w:szCs w:val="32"/>
              </w:rPr>
            </w:pP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color w:val="000000"/>
                <w:sz w:val="32"/>
                <w:szCs w:val="32"/>
              </w:rPr>
            </w:pPr>
          </w:p>
        </w:tc>
        <w:tc>
          <w:tcPr>
            <w:tcW w:w="267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仿宋" w:hAnsi="仿宋" w:eastAsia="仿宋" w:cs="仿宋"/>
                <w:sz w:val="32"/>
                <w:szCs w:val="32"/>
              </w:rPr>
            </w:pPr>
            <w:r>
              <w:rPr>
                <w:rFonts w:hint="eastAsia" w:ascii="仿宋" w:hAnsi="仿宋" w:eastAsia="仿宋" w:cs="仿宋"/>
                <w:i w:val="0"/>
                <w:color w:val="000000"/>
                <w:sz w:val="32"/>
                <w:szCs w:val="32"/>
                <w:u w:val="none"/>
                <w:lang w:val="en-US" w:eastAsia="zh-CN"/>
              </w:rPr>
              <w:t xml:space="preserve">    行政事业类项目</w:t>
            </w:r>
          </w:p>
        </w:tc>
        <w:tc>
          <w:tcPr>
            <w:tcW w:w="18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right"/>
              <w:textAlignment w:val="center"/>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299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本年收入合计</w:t>
            </w:r>
          </w:p>
        </w:tc>
        <w:tc>
          <w:tcPr>
            <w:tcW w:w="15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197.37</w:t>
            </w:r>
          </w:p>
        </w:tc>
        <w:tc>
          <w:tcPr>
            <w:tcW w:w="26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本年支出合计</w:t>
            </w:r>
          </w:p>
        </w:tc>
        <w:tc>
          <w:tcPr>
            <w:tcW w:w="180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320" w:firstLineChars="100"/>
              <w:jc w:val="right"/>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000000"/>
                <w:sz w:val="32"/>
                <w:szCs w:val="32"/>
                <w:lang w:val="en-US" w:eastAsia="zh-CN"/>
              </w:rPr>
              <w:t>197.37</w:t>
            </w:r>
          </w:p>
        </w:tc>
      </w:tr>
    </w:tbl>
    <w:p>
      <w:pPr>
        <w:pStyle w:val="4"/>
        <w:pageBreakBefore w:val="0"/>
        <w:widowControl w:val="0"/>
        <w:kinsoku/>
        <w:wordWrap/>
        <w:overflowPunct/>
        <w:topLinePunct w:val="0"/>
        <w:autoSpaceDE/>
        <w:autoSpaceDN/>
        <w:bidi w:val="0"/>
        <w:adjustRightInd/>
        <w:snapToGrid/>
        <w:spacing w:before="0" w:beforeLines="0" w:after="0" w:afterLines="0" w:line="480" w:lineRule="exact"/>
        <w:textAlignment w:val="auto"/>
        <w:rPr>
          <w:rFonts w:hint="eastAsia" w:ascii="仿宋" w:hAnsi="仿宋" w:eastAsia="仿宋" w:cs="仿宋"/>
          <w:sz w:val="32"/>
          <w:szCs w:val="32"/>
        </w:rPr>
      </w:pPr>
      <w:bookmarkStart w:id="12" w:name="_Toc11950"/>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部门本年预算追加及年度可用预算指标情况</w:t>
      </w:r>
      <w:bookmarkEnd w:id="12"/>
      <w:r>
        <w:rPr>
          <w:rFonts w:hint="eastAsia" w:ascii="仿宋" w:hAnsi="仿宋" w:eastAsia="仿宋" w:cs="仿宋"/>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0" w:firstLineChars="0"/>
        <w:jc w:val="right"/>
        <w:textAlignment w:val="auto"/>
        <w:outlineLvl w:val="9"/>
        <w:rPr>
          <w:rFonts w:hint="eastAsia" w:ascii="仿宋" w:hAnsi="仿宋" w:eastAsia="仿宋" w:cs="仿宋"/>
          <w:b w:val="0"/>
          <w:bCs/>
          <w:i w:val="0"/>
          <w:color w:val="000000"/>
          <w:kern w:val="0"/>
          <w:sz w:val="32"/>
          <w:szCs w:val="32"/>
          <w:u w:val="none"/>
          <w:lang w:val="en-US" w:eastAsia="zh-CN" w:bidi="ar"/>
        </w:rPr>
      </w:pPr>
      <w:bookmarkStart w:id="13" w:name="_Toc26304"/>
      <w:r>
        <w:rPr>
          <w:rFonts w:hint="eastAsia" w:ascii="仿宋" w:hAnsi="仿宋" w:eastAsia="仿宋" w:cs="仿宋"/>
          <w:b w:val="0"/>
          <w:bCs/>
          <w:i w:val="0"/>
          <w:color w:val="000000"/>
          <w:kern w:val="0"/>
          <w:sz w:val="32"/>
          <w:szCs w:val="32"/>
          <w:u w:val="none"/>
          <w:lang w:val="en-US" w:eastAsia="zh-CN" w:bidi="ar"/>
        </w:rPr>
        <w:t xml:space="preserve">单位：万元  </w:t>
      </w:r>
    </w:p>
    <w:tbl>
      <w:tblPr>
        <w:tblStyle w:val="6"/>
        <w:tblW w:w="0" w:type="auto"/>
        <w:tblInd w:w="-530" w:type="dxa"/>
        <w:tblLayout w:type="fixed"/>
        <w:tblCellMar>
          <w:top w:w="0" w:type="dxa"/>
          <w:left w:w="15" w:type="dxa"/>
          <w:bottom w:w="0" w:type="dxa"/>
          <w:right w:w="15" w:type="dxa"/>
        </w:tblCellMar>
      </w:tblPr>
      <w:tblGrid>
        <w:gridCol w:w="1770"/>
        <w:gridCol w:w="2760"/>
        <w:gridCol w:w="1998"/>
        <w:gridCol w:w="1839"/>
        <w:gridCol w:w="1793"/>
      </w:tblGrid>
      <w:tr>
        <w:tblPrEx>
          <w:tblCellMar>
            <w:top w:w="0" w:type="dxa"/>
            <w:left w:w="15" w:type="dxa"/>
            <w:bottom w:w="0" w:type="dxa"/>
            <w:right w:w="15" w:type="dxa"/>
          </w:tblCellMar>
        </w:tblPrEx>
        <w:trPr>
          <w:trHeight w:val="422" w:hRule="atLeast"/>
        </w:trPr>
        <w:tc>
          <w:tcPr>
            <w:tcW w:w="4530" w:type="dxa"/>
            <w:gridSpan w:val="2"/>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项   目</w:t>
            </w:r>
          </w:p>
        </w:tc>
        <w:tc>
          <w:tcPr>
            <w:tcW w:w="1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合计</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center"/>
              <w:rPr>
                <w:rFonts w:hint="eastAsia" w:ascii="仿宋" w:hAnsi="仿宋" w:eastAsia="仿宋" w:cs="仿宋"/>
                <w:sz w:val="32"/>
                <w:szCs w:val="32"/>
              </w:rPr>
            </w:pPr>
            <w:r>
              <w:rPr>
                <w:rFonts w:hint="eastAsia" w:ascii="仿宋" w:hAnsi="仿宋" w:eastAsia="仿宋" w:cs="仿宋"/>
                <w:sz w:val="32"/>
                <w:szCs w:val="32"/>
              </w:rPr>
              <w:t>基本支出</w:t>
            </w:r>
          </w:p>
        </w:tc>
        <w:tc>
          <w:tcPr>
            <w:tcW w:w="1793"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jc w:val="center"/>
              <w:rPr>
                <w:rFonts w:hint="eastAsia" w:ascii="仿宋" w:hAnsi="仿宋" w:eastAsia="仿宋" w:cs="仿宋"/>
                <w:sz w:val="32"/>
                <w:szCs w:val="32"/>
              </w:rPr>
            </w:pPr>
            <w:r>
              <w:rPr>
                <w:rFonts w:hint="eastAsia" w:ascii="仿宋" w:hAnsi="仿宋" w:eastAsia="仿宋" w:cs="仿宋"/>
                <w:sz w:val="32"/>
                <w:szCs w:val="32"/>
              </w:rPr>
              <w:t>项目支出</w:t>
            </w:r>
          </w:p>
        </w:tc>
      </w:tr>
      <w:tr>
        <w:tblPrEx>
          <w:tblCellMar>
            <w:top w:w="0" w:type="dxa"/>
            <w:left w:w="15" w:type="dxa"/>
            <w:bottom w:w="0" w:type="dxa"/>
            <w:right w:w="15" w:type="dxa"/>
          </w:tblCellMar>
        </w:tblPrEx>
        <w:trPr>
          <w:trHeight w:val="432" w:hRule="atLeast"/>
        </w:trPr>
        <w:tc>
          <w:tcPr>
            <w:tcW w:w="1770" w:type="dxa"/>
            <w:vMerge w:val="restart"/>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ind w:left="0" w:lef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全年可用</w:t>
            </w:r>
          </w:p>
          <w:p>
            <w:pPr>
              <w:keepNext w:val="0"/>
              <w:keepLines w:val="0"/>
              <w:pageBreakBefore w:val="0"/>
              <w:widowControl w:val="0"/>
              <w:kinsoku/>
              <w:wordWrap/>
              <w:overflowPunct/>
              <w:topLinePunct w:val="0"/>
              <w:autoSpaceDE/>
              <w:autoSpaceDN w:val="0"/>
              <w:bidi w:val="0"/>
              <w:adjustRightInd/>
              <w:snapToGrid/>
              <w:spacing w:line="300" w:lineRule="exact"/>
              <w:ind w:left="0" w:leftChars="0" w:firstLine="0" w:firstLineChars="0"/>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预算指标</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年初预算</w:t>
            </w:r>
          </w:p>
        </w:tc>
        <w:tc>
          <w:tcPr>
            <w:tcW w:w="1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i w:val="0"/>
                <w:color w:val="000000"/>
                <w:kern w:val="0"/>
                <w:sz w:val="32"/>
                <w:szCs w:val="32"/>
                <w:u w:val="none"/>
                <w:lang w:val="en-US" w:eastAsia="zh-CN" w:bidi="ar"/>
              </w:rPr>
              <w:t>197.37</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i w:val="0"/>
                <w:color w:val="000000"/>
                <w:kern w:val="0"/>
                <w:sz w:val="32"/>
                <w:szCs w:val="32"/>
                <w:u w:val="none"/>
                <w:lang w:val="en-US" w:eastAsia="zh-CN" w:bidi="ar"/>
              </w:rPr>
              <w:t>168.21</w:t>
            </w:r>
          </w:p>
        </w:tc>
        <w:tc>
          <w:tcPr>
            <w:tcW w:w="1793"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i w:val="0"/>
                <w:color w:val="000000"/>
                <w:kern w:val="0"/>
                <w:sz w:val="32"/>
                <w:szCs w:val="32"/>
                <w:u w:val="none"/>
                <w:lang w:val="en-US" w:eastAsia="zh-CN" w:bidi="ar"/>
              </w:rPr>
              <w:t>29.16</w:t>
            </w:r>
          </w:p>
        </w:tc>
      </w:tr>
      <w:tr>
        <w:tblPrEx>
          <w:tblCellMar>
            <w:top w:w="0" w:type="dxa"/>
            <w:left w:w="15" w:type="dxa"/>
            <w:bottom w:w="0" w:type="dxa"/>
            <w:right w:w="15" w:type="dxa"/>
          </w:tblCellMar>
        </w:tblPrEx>
        <w:trPr>
          <w:trHeight w:val="432" w:hRule="atLeast"/>
        </w:trPr>
        <w:tc>
          <w:tcPr>
            <w:tcW w:w="1770"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仿宋" w:hAnsi="仿宋" w:eastAsia="仿宋" w:cs="仿宋"/>
                <w:sz w:val="32"/>
                <w:szCs w:val="32"/>
              </w:rPr>
            </w:pP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本年追加</w:t>
            </w:r>
          </w:p>
        </w:tc>
        <w:tc>
          <w:tcPr>
            <w:tcW w:w="19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i w:val="0"/>
                <w:color w:val="000000"/>
                <w:kern w:val="0"/>
                <w:sz w:val="32"/>
                <w:szCs w:val="32"/>
                <w:u w:val="none"/>
                <w:lang w:val="en-US" w:eastAsia="zh-CN" w:bidi="ar"/>
              </w:rPr>
              <w:t>147.24</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i w:val="0"/>
                <w:color w:val="000000"/>
                <w:kern w:val="0"/>
                <w:sz w:val="32"/>
                <w:szCs w:val="32"/>
                <w:u w:val="none"/>
                <w:lang w:val="en-US" w:eastAsia="zh-CN" w:bidi="ar"/>
              </w:rPr>
              <w:t>76.84</w:t>
            </w:r>
          </w:p>
        </w:tc>
        <w:tc>
          <w:tcPr>
            <w:tcW w:w="1793"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i w:val="0"/>
                <w:color w:val="000000"/>
                <w:kern w:val="0"/>
                <w:sz w:val="32"/>
                <w:szCs w:val="32"/>
                <w:u w:val="none"/>
                <w:lang w:val="en-US" w:eastAsia="zh-CN" w:bidi="ar"/>
              </w:rPr>
              <w:t>70.4</w:t>
            </w:r>
          </w:p>
        </w:tc>
      </w:tr>
      <w:tr>
        <w:tblPrEx>
          <w:tblCellMar>
            <w:top w:w="0" w:type="dxa"/>
            <w:left w:w="15" w:type="dxa"/>
            <w:bottom w:w="0" w:type="dxa"/>
            <w:right w:w="15" w:type="dxa"/>
          </w:tblCellMar>
        </w:tblPrEx>
        <w:trPr>
          <w:trHeight w:val="432" w:hRule="atLeast"/>
        </w:trPr>
        <w:tc>
          <w:tcPr>
            <w:tcW w:w="1770"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仿宋" w:hAnsi="仿宋" w:eastAsia="仿宋" w:cs="仿宋"/>
                <w:sz w:val="32"/>
                <w:szCs w:val="32"/>
              </w:rPr>
            </w:pPr>
          </w:p>
        </w:tc>
        <w:tc>
          <w:tcPr>
            <w:tcW w:w="27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上年结转和结余</w:t>
            </w:r>
          </w:p>
        </w:tc>
        <w:tc>
          <w:tcPr>
            <w:tcW w:w="199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i w:val="0"/>
                <w:color w:val="000000"/>
                <w:kern w:val="0"/>
                <w:sz w:val="32"/>
                <w:szCs w:val="32"/>
                <w:u w:val="none"/>
                <w:lang w:val="en-US" w:eastAsia="zh-CN" w:bidi="ar"/>
              </w:rPr>
              <w:t>73.51</w:t>
            </w:r>
          </w:p>
        </w:tc>
        <w:tc>
          <w:tcPr>
            <w:tcW w:w="183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i w:val="0"/>
                <w:color w:val="000000"/>
                <w:kern w:val="0"/>
                <w:sz w:val="32"/>
                <w:szCs w:val="32"/>
                <w:u w:val="none"/>
                <w:lang w:val="en-US" w:eastAsia="zh-CN" w:bidi="ar"/>
              </w:rPr>
              <w:t>0.88</w:t>
            </w:r>
          </w:p>
        </w:tc>
        <w:tc>
          <w:tcPr>
            <w:tcW w:w="1793" w:type="dxa"/>
            <w:tcBorders>
              <w:top w:val="single" w:color="auto" w:sz="4" w:space="0"/>
              <w:left w:val="single" w:color="000000" w:sz="4" w:space="0"/>
              <w:bottom w:val="single" w:color="000000" w:sz="4" w:space="0"/>
              <w:right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i w:val="0"/>
                <w:color w:val="000000"/>
                <w:kern w:val="0"/>
                <w:sz w:val="32"/>
                <w:szCs w:val="32"/>
                <w:u w:val="none"/>
                <w:lang w:val="en-US" w:eastAsia="zh-CN" w:bidi="ar"/>
              </w:rPr>
              <w:t>72.63</w:t>
            </w:r>
          </w:p>
        </w:tc>
      </w:tr>
      <w:tr>
        <w:tblPrEx>
          <w:tblCellMar>
            <w:top w:w="0" w:type="dxa"/>
            <w:left w:w="15" w:type="dxa"/>
            <w:bottom w:w="0" w:type="dxa"/>
            <w:right w:w="15" w:type="dxa"/>
          </w:tblCellMar>
        </w:tblPrEx>
        <w:trPr>
          <w:trHeight w:val="442" w:hRule="atLeast"/>
        </w:trPr>
        <w:tc>
          <w:tcPr>
            <w:tcW w:w="1770"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300" w:lineRule="exact"/>
              <w:rPr>
                <w:rFonts w:hint="eastAsia" w:ascii="仿宋" w:hAnsi="仿宋" w:eastAsia="仿宋" w:cs="仿宋"/>
                <w:sz w:val="32"/>
                <w:szCs w:val="32"/>
              </w:rPr>
            </w:pPr>
          </w:p>
        </w:tc>
        <w:tc>
          <w:tcPr>
            <w:tcW w:w="27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小计</w:t>
            </w:r>
          </w:p>
        </w:tc>
        <w:tc>
          <w:tcPr>
            <w:tcW w:w="199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fldChar w:fldCharType="begin"/>
            </w:r>
            <w:r>
              <w:rPr>
                <w:rFonts w:hint="eastAsia" w:ascii="仿宋" w:hAnsi="仿宋" w:eastAsia="仿宋" w:cs="仿宋"/>
                <w:color w:val="000000"/>
                <w:sz w:val="32"/>
                <w:szCs w:val="32"/>
                <w:lang w:val="en-US" w:eastAsia="zh-CN"/>
              </w:rPr>
              <w:instrText xml:space="preserve"> = sum(C2:C4) \* MERGEFORMAT </w:instrText>
            </w:r>
            <w:r>
              <w:rPr>
                <w:rFonts w:hint="eastAsia" w:ascii="仿宋" w:hAnsi="仿宋" w:eastAsia="仿宋" w:cs="仿宋"/>
                <w:color w:val="000000"/>
                <w:sz w:val="32"/>
                <w:szCs w:val="32"/>
                <w:lang w:val="en-US" w:eastAsia="zh-CN"/>
              </w:rPr>
              <w:fldChar w:fldCharType="separate"/>
            </w:r>
            <w:r>
              <w:rPr>
                <w:rFonts w:hint="eastAsia" w:ascii="仿宋" w:hAnsi="仿宋" w:eastAsia="仿宋" w:cs="仿宋"/>
                <w:color w:val="000000"/>
                <w:sz w:val="32"/>
                <w:szCs w:val="32"/>
                <w:lang w:val="en-US" w:eastAsia="zh-CN"/>
              </w:rPr>
              <w:t>418.12</w:t>
            </w:r>
            <w:r>
              <w:rPr>
                <w:rFonts w:hint="eastAsia" w:ascii="仿宋" w:hAnsi="仿宋" w:eastAsia="仿宋" w:cs="仿宋"/>
                <w:color w:val="000000"/>
                <w:sz w:val="32"/>
                <w:szCs w:val="32"/>
                <w:lang w:val="en-US" w:eastAsia="zh-CN"/>
              </w:rPr>
              <w:fldChar w:fldCharType="end"/>
            </w:r>
          </w:p>
        </w:tc>
        <w:tc>
          <w:tcPr>
            <w:tcW w:w="183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fldChar w:fldCharType="begin"/>
            </w:r>
            <w:r>
              <w:rPr>
                <w:rFonts w:hint="eastAsia" w:ascii="仿宋" w:hAnsi="仿宋" w:eastAsia="仿宋" w:cs="仿宋"/>
                <w:color w:val="000000"/>
                <w:sz w:val="32"/>
                <w:szCs w:val="32"/>
                <w:lang w:val="en-US" w:eastAsia="zh-CN"/>
              </w:rPr>
              <w:instrText xml:space="preserve"> = sum(D2:D4) \* MERGEFORMAT </w:instrText>
            </w:r>
            <w:r>
              <w:rPr>
                <w:rFonts w:hint="eastAsia" w:ascii="仿宋" w:hAnsi="仿宋" w:eastAsia="仿宋" w:cs="仿宋"/>
                <w:color w:val="000000"/>
                <w:sz w:val="32"/>
                <w:szCs w:val="32"/>
                <w:lang w:val="en-US" w:eastAsia="zh-CN"/>
              </w:rPr>
              <w:fldChar w:fldCharType="separate"/>
            </w:r>
            <w:r>
              <w:rPr>
                <w:rFonts w:hint="eastAsia" w:ascii="仿宋" w:hAnsi="仿宋" w:eastAsia="仿宋" w:cs="仿宋"/>
                <w:color w:val="000000"/>
                <w:sz w:val="32"/>
                <w:szCs w:val="32"/>
                <w:lang w:val="en-US" w:eastAsia="zh-CN"/>
              </w:rPr>
              <w:t>245.93</w:t>
            </w:r>
            <w:r>
              <w:rPr>
                <w:rFonts w:hint="eastAsia" w:ascii="仿宋" w:hAnsi="仿宋" w:eastAsia="仿宋" w:cs="仿宋"/>
                <w:color w:val="000000"/>
                <w:sz w:val="32"/>
                <w:szCs w:val="32"/>
                <w:lang w:val="en-US" w:eastAsia="zh-CN"/>
              </w:rPr>
              <w:fldChar w:fldCharType="end"/>
            </w:r>
          </w:p>
        </w:tc>
        <w:tc>
          <w:tcPr>
            <w:tcW w:w="1793" w:type="dxa"/>
            <w:tcBorders>
              <w:top w:val="single" w:color="auto" w:sz="4" w:space="0"/>
              <w:left w:val="single" w:color="000000" w:sz="4" w:space="0"/>
              <w:bottom w:val="single" w:color="000000" w:sz="4" w:space="0"/>
              <w:right w:val="single" w:color="000000" w:sz="8"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300" w:lineRule="exact"/>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fldChar w:fldCharType="begin"/>
            </w:r>
            <w:r>
              <w:rPr>
                <w:rFonts w:hint="eastAsia" w:ascii="仿宋" w:hAnsi="仿宋" w:eastAsia="仿宋" w:cs="仿宋"/>
                <w:color w:val="000000"/>
                <w:sz w:val="32"/>
                <w:szCs w:val="32"/>
                <w:lang w:val="en-US" w:eastAsia="zh-CN"/>
              </w:rPr>
              <w:instrText xml:space="preserve"> = sum(E2:E4) \* MERGEFORMAT </w:instrText>
            </w:r>
            <w:r>
              <w:rPr>
                <w:rFonts w:hint="eastAsia" w:ascii="仿宋" w:hAnsi="仿宋" w:eastAsia="仿宋" w:cs="仿宋"/>
                <w:color w:val="000000"/>
                <w:sz w:val="32"/>
                <w:szCs w:val="32"/>
                <w:lang w:val="en-US" w:eastAsia="zh-CN"/>
              </w:rPr>
              <w:fldChar w:fldCharType="separate"/>
            </w:r>
            <w:r>
              <w:rPr>
                <w:rFonts w:hint="eastAsia" w:ascii="仿宋" w:hAnsi="仿宋" w:eastAsia="仿宋" w:cs="仿宋"/>
                <w:color w:val="000000"/>
                <w:sz w:val="32"/>
                <w:szCs w:val="32"/>
                <w:lang w:val="en-US" w:eastAsia="zh-CN"/>
              </w:rPr>
              <w:t>172.19</w:t>
            </w:r>
            <w:r>
              <w:rPr>
                <w:rFonts w:hint="eastAsia" w:ascii="仿宋" w:hAnsi="仿宋" w:eastAsia="仿宋" w:cs="仿宋"/>
                <w:color w:val="000000"/>
                <w:sz w:val="32"/>
                <w:szCs w:val="32"/>
                <w:lang w:val="en-US" w:eastAsia="zh-CN"/>
              </w:rPr>
              <w:fldChar w:fldCharType="end"/>
            </w:r>
          </w:p>
        </w:tc>
      </w:tr>
      <w:bookmarkEnd w:id="13"/>
    </w:tbl>
    <w:p>
      <w:pPr>
        <w:pStyle w:val="4"/>
        <w:numPr>
          <w:ilvl w:val="0"/>
          <w:numId w:val="0"/>
        </w:numPr>
        <w:spacing w:before="0" w:after="0"/>
        <w:ind w:firstLine="321" w:firstLineChars="100"/>
        <w:jc w:val="both"/>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年度部门财政资金收支决算情况</w:t>
      </w:r>
      <w:r>
        <w:rPr>
          <w:rFonts w:hint="eastAsia" w:ascii="仿宋" w:hAnsi="仿宋" w:eastAsia="仿宋" w:cs="仿宋"/>
          <w:b/>
          <w:bCs/>
          <w:sz w:val="32"/>
          <w:szCs w:val="32"/>
          <w:lang w:val="en-US" w:eastAsia="zh-CN"/>
        </w:rPr>
        <w:t xml:space="preserve">          </w:t>
      </w:r>
      <w:r>
        <w:rPr>
          <w:rFonts w:hint="eastAsia" w:ascii="仿宋" w:hAnsi="仿宋" w:eastAsia="仿宋" w:cs="仿宋"/>
          <w:b w:val="0"/>
          <w:bCs/>
          <w:i w:val="0"/>
          <w:color w:val="000000"/>
          <w:kern w:val="0"/>
          <w:sz w:val="32"/>
          <w:szCs w:val="32"/>
          <w:u w:val="none"/>
          <w:lang w:val="en-US" w:eastAsia="zh-CN" w:bidi="ar"/>
        </w:rPr>
        <w:t xml:space="preserve">单位：万元 </w:t>
      </w:r>
    </w:p>
    <w:tbl>
      <w:tblPr>
        <w:tblStyle w:val="6"/>
        <w:tblW w:w="0" w:type="auto"/>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1310"/>
        <w:gridCol w:w="2450"/>
        <w:gridCol w:w="1290"/>
        <w:gridCol w:w="149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460"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收入项目</w:t>
            </w:r>
          </w:p>
        </w:tc>
        <w:tc>
          <w:tcPr>
            <w:tcW w:w="1310"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决算数  （万元）</w:t>
            </w:r>
          </w:p>
        </w:tc>
        <w:tc>
          <w:tcPr>
            <w:tcW w:w="2450" w:type="dxa"/>
            <w:vMerge w:val="restart"/>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支出项目</w:t>
            </w:r>
          </w:p>
        </w:tc>
        <w:tc>
          <w:tcPr>
            <w:tcW w:w="4025"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决算数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460"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vMerge w:val="continue"/>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290" w:type="dxa"/>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小计</w:t>
            </w:r>
          </w:p>
        </w:tc>
        <w:tc>
          <w:tcPr>
            <w:tcW w:w="1490" w:type="dxa"/>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一般公共预算财政拨款</w:t>
            </w:r>
          </w:p>
        </w:tc>
        <w:tc>
          <w:tcPr>
            <w:tcW w:w="1245" w:type="dxa"/>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政府性基金拨款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一、一般公共预算财政拨款</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344.61</w:t>
            </w: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一、基本支出</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238.42</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238.42</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二、政府性基金拨款</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其中：人员经费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220.49</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220.49</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日常公用经费</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17.93</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17.93</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二、项目支出</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128.72</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128.72</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pacing w:val="-6"/>
                <w:sz w:val="32"/>
                <w:szCs w:val="32"/>
              </w:rPr>
              <w:t>其中：基本建设类项目</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firstLine="640" w:firstLineChars="200"/>
              <w:jc w:val="center"/>
              <w:textAlignment w:val="center"/>
              <w:rPr>
                <w:rFonts w:hint="eastAsia" w:ascii="仿宋" w:hAnsi="仿宋" w:eastAsia="仿宋" w:cs="仿宋"/>
                <w:sz w:val="32"/>
                <w:szCs w:val="32"/>
              </w:rPr>
            </w:pP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行政事业类项目</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128.72</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128.72</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支出经济分类</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firstLine="640" w:firstLineChars="200"/>
              <w:jc w:val="center"/>
              <w:textAlignment w:val="center"/>
              <w:rPr>
                <w:rFonts w:hint="eastAsia" w:ascii="仿宋" w:hAnsi="仿宋" w:eastAsia="仿宋" w:cs="仿宋"/>
                <w:sz w:val="32"/>
                <w:szCs w:val="32"/>
              </w:rPr>
            </w:pP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工资福利支出</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153.78</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153.78</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商品服务支出</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132.72</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132.72</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对个人和家庭的补助</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78.21</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78.21</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资本性支出</w:t>
            </w:r>
          </w:p>
        </w:tc>
        <w:tc>
          <w:tcPr>
            <w:tcW w:w="1290" w:type="dxa"/>
            <w:noWrap w:val="0"/>
            <w:vAlign w:val="center"/>
          </w:tcPr>
          <w:p>
            <w:pPr>
              <w:keepNext w:val="0"/>
              <w:keepLines w:val="0"/>
              <w:pageBreakBefore w:val="0"/>
              <w:widowControl/>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2.43</w:t>
            </w:r>
          </w:p>
        </w:tc>
        <w:tc>
          <w:tcPr>
            <w:tcW w:w="1490" w:type="dxa"/>
            <w:noWrap w:val="0"/>
            <w:vAlign w:val="center"/>
          </w:tcPr>
          <w:p>
            <w:pPr>
              <w:keepNext w:val="0"/>
              <w:keepLines w:val="0"/>
              <w:pageBreakBefore w:val="0"/>
              <w:widowControl/>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2.43</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本年财政拨款收入</w:t>
            </w:r>
          </w:p>
          <w:p>
            <w:pPr>
              <w:keepNext w:val="0"/>
              <w:keepLines w:val="0"/>
              <w:pageBreakBefore w:val="0"/>
              <w:kinsoku/>
              <w:wordWrap/>
              <w:overflowPunct/>
              <w:topLinePunct w:val="0"/>
              <w:autoSpaceDE/>
              <w:autoSpaceDN w:val="0"/>
              <w:bidi w:val="0"/>
              <w:adjustRightInd/>
              <w:snapToGrid/>
              <w:spacing w:line="280" w:lineRule="exact"/>
              <w:ind w:left="0" w:leftChars="0" w:firstLine="960" w:firstLineChars="300"/>
              <w:jc w:val="center"/>
              <w:textAlignment w:val="center"/>
              <w:rPr>
                <w:rFonts w:hint="eastAsia" w:ascii="仿宋" w:hAnsi="仿宋" w:eastAsia="仿宋" w:cs="仿宋"/>
                <w:sz w:val="32"/>
                <w:szCs w:val="32"/>
              </w:rPr>
            </w:pPr>
            <w:r>
              <w:rPr>
                <w:rFonts w:hint="eastAsia" w:ascii="仿宋" w:hAnsi="仿宋" w:eastAsia="仿宋" w:cs="仿宋"/>
                <w:sz w:val="32"/>
                <w:szCs w:val="32"/>
              </w:rPr>
              <w:t>合计</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本年支出合计</w:t>
            </w:r>
          </w:p>
        </w:tc>
        <w:tc>
          <w:tcPr>
            <w:tcW w:w="12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367.14</w:t>
            </w:r>
          </w:p>
        </w:tc>
        <w:tc>
          <w:tcPr>
            <w:tcW w:w="149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367.14</w:t>
            </w:r>
          </w:p>
        </w:tc>
        <w:tc>
          <w:tcPr>
            <w:tcW w:w="1245"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三、年初财政拨款结转和结余</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320" w:firstLineChars="100"/>
              <w:jc w:val="both"/>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73.51</w:t>
            </w: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三、年末财政拨款结转和结余</w:t>
            </w:r>
          </w:p>
        </w:tc>
        <w:tc>
          <w:tcPr>
            <w:tcW w:w="12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50.98</w:t>
            </w:r>
          </w:p>
        </w:tc>
        <w:tc>
          <w:tcPr>
            <w:tcW w:w="14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50.98</w:t>
            </w:r>
          </w:p>
        </w:tc>
        <w:tc>
          <w:tcPr>
            <w:tcW w:w="1245"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jc w:val="center"/>
              <w:textAlignment w:val="center"/>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其中：一般公共预算财政拨款</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320" w:firstLineChars="100"/>
              <w:jc w:val="both"/>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73.51</w:t>
            </w: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其中：基本支出结转</w:t>
            </w:r>
          </w:p>
        </w:tc>
        <w:tc>
          <w:tcPr>
            <w:tcW w:w="12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7.51</w:t>
            </w:r>
          </w:p>
        </w:tc>
        <w:tc>
          <w:tcPr>
            <w:tcW w:w="14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7.51</w:t>
            </w:r>
          </w:p>
        </w:tc>
        <w:tc>
          <w:tcPr>
            <w:tcW w:w="1245"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jc w:val="center"/>
              <w:textAlignment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政府性基金预算</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财政拨款</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lang w:val="en-US" w:eastAsia="zh-CN"/>
              </w:rPr>
            </w:pP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rPr>
              <w:t>项目支出结转和结余</w:t>
            </w:r>
          </w:p>
        </w:tc>
        <w:tc>
          <w:tcPr>
            <w:tcW w:w="12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43.47</w:t>
            </w:r>
          </w:p>
        </w:tc>
        <w:tc>
          <w:tcPr>
            <w:tcW w:w="14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rPr>
            </w:pPr>
            <w:r>
              <w:rPr>
                <w:rFonts w:hint="eastAsia" w:ascii="仿宋" w:hAnsi="仿宋" w:eastAsia="仿宋" w:cs="仿宋"/>
                <w:sz w:val="32"/>
                <w:szCs w:val="32"/>
                <w:lang w:val="en-US" w:eastAsia="zh-CN"/>
              </w:rPr>
              <w:t>43.47</w:t>
            </w:r>
          </w:p>
        </w:tc>
        <w:tc>
          <w:tcPr>
            <w:tcW w:w="1245"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jc w:val="center"/>
              <w:textAlignment w:val="center"/>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46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总计</w:t>
            </w:r>
          </w:p>
        </w:tc>
        <w:tc>
          <w:tcPr>
            <w:tcW w:w="1310" w:type="dxa"/>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418.12</w:t>
            </w:r>
          </w:p>
        </w:tc>
        <w:tc>
          <w:tcPr>
            <w:tcW w:w="2450" w:type="dxa"/>
            <w:noWrap w:val="0"/>
            <w:vAlign w:val="center"/>
          </w:tcPr>
          <w:p>
            <w:pPr>
              <w:keepNext w:val="0"/>
              <w:keepLines w:val="0"/>
              <w:pageBreakBefore w:val="0"/>
              <w:kinsoku/>
              <w:wordWrap/>
              <w:overflowPunct/>
              <w:topLinePunct w:val="0"/>
              <w:autoSpaceDE/>
              <w:autoSpaceDN w:val="0"/>
              <w:bidi w:val="0"/>
              <w:adjustRightInd/>
              <w:snapToGrid/>
              <w:spacing w:line="280" w:lineRule="exact"/>
              <w:jc w:val="center"/>
              <w:textAlignment w:val="center"/>
              <w:rPr>
                <w:rFonts w:hint="eastAsia" w:ascii="仿宋" w:hAnsi="仿宋" w:eastAsia="仿宋" w:cs="仿宋"/>
                <w:sz w:val="32"/>
                <w:szCs w:val="32"/>
              </w:rPr>
            </w:pPr>
            <w:r>
              <w:rPr>
                <w:rFonts w:hint="eastAsia" w:ascii="仿宋" w:hAnsi="仿宋" w:eastAsia="仿宋" w:cs="仿宋"/>
                <w:sz w:val="32"/>
                <w:szCs w:val="32"/>
              </w:rPr>
              <w:t>总计</w:t>
            </w:r>
          </w:p>
        </w:tc>
        <w:tc>
          <w:tcPr>
            <w:tcW w:w="12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418.12</w:t>
            </w:r>
          </w:p>
        </w:tc>
        <w:tc>
          <w:tcPr>
            <w:tcW w:w="1490"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firstLine="0" w:firstLineChars="0"/>
              <w:jc w:val="center"/>
              <w:textAlignment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418.12</w:t>
            </w:r>
          </w:p>
        </w:tc>
        <w:tc>
          <w:tcPr>
            <w:tcW w:w="1245" w:type="dxa"/>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jc w:val="center"/>
              <w:textAlignment w:val="center"/>
              <w:rPr>
                <w:rFonts w:hint="eastAsia" w:ascii="仿宋" w:hAnsi="仿宋" w:eastAsia="仿宋" w:cs="仿宋"/>
                <w:sz w:val="32"/>
                <w:szCs w:val="3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bookmarkStart w:id="14" w:name="_Toc811"/>
      <w:bookmarkStart w:id="15" w:name="_Toc23662"/>
      <w:r>
        <w:rPr>
          <w:rFonts w:hint="eastAsia" w:ascii="仿宋" w:hAnsi="仿宋" w:eastAsia="仿宋" w:cs="仿宋"/>
          <w:b/>
          <w:bCs/>
          <w:sz w:val="32"/>
          <w:szCs w:val="32"/>
          <w:lang w:val="en-US" w:eastAsia="zh-CN"/>
        </w:rPr>
        <w:t>4、年末结转结余情况</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本单位年末结转和结余50.98万元，基本支出结转7.51万元，项目支出结转和结余43.47万元。</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5、“三公经费”支出使用和管理情况</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highlight w:val="none"/>
          <w:lang w:val="en-US" w:eastAsia="zh-CN"/>
        </w:rPr>
      </w:pPr>
      <w:bookmarkStart w:id="16" w:name="_Toc1850"/>
      <w:bookmarkStart w:id="17" w:name="_Toc27181"/>
      <w:r>
        <w:rPr>
          <w:rFonts w:hint="eastAsia" w:ascii="仿宋" w:hAnsi="仿宋" w:eastAsia="仿宋" w:cs="仿宋"/>
          <w:sz w:val="32"/>
          <w:szCs w:val="32"/>
          <w:lang w:val="en-US" w:eastAsia="zh-CN"/>
        </w:rPr>
        <w:t>本单位2018年“三公”经费预算数为9.00万元，其中：公务接待费5万元，公务用车4万元，上年“三公”经费预算数为9.00万元，预算变动率为0；</w:t>
      </w:r>
      <w:r>
        <w:rPr>
          <w:rFonts w:hint="eastAsia" w:ascii="仿宋" w:hAnsi="仿宋" w:eastAsia="仿宋" w:cs="仿宋"/>
          <w:sz w:val="32"/>
          <w:szCs w:val="32"/>
          <w:highlight w:val="none"/>
          <w:lang w:val="en-US" w:eastAsia="zh-CN"/>
        </w:rPr>
        <w:t>本年“三公”经费账面反映支出4.45万元，其中：公务接待1.41万元，公车用车购置及运行维护费3.04万元，“三公经费”控制率为49.44%。</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（四）、年初设定绩效目标</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本单位年初设定的整体绩效目标为：依法受理、办理行政复议案件，达到定纷止争的效果，依法参加行政应诉，维护政府良好的形象。按州政府立法计划完成政府立法工作，为我州整治经济文化环境等提供法制基础。</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项目绩效目标分别为：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依法参与每件行政复议的调查取证、听证及办理，依法参与率达100%。（2）完成立法项目《湘西土家族苗族自治州传统村落保护条例》的起草工作。</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3" w:firstLineChars="200"/>
        <w:textAlignment w:val="auto"/>
        <w:rPr>
          <w:rFonts w:hint="eastAsia" w:ascii="仿宋" w:hAnsi="仿宋" w:eastAsia="仿宋" w:cs="仿宋"/>
          <w:sz w:val="32"/>
          <w:szCs w:val="32"/>
          <w:lang w:val="en-US" w:eastAsia="zh-CN"/>
        </w:rPr>
      </w:pPr>
      <w:bookmarkStart w:id="18" w:name="_Toc14733"/>
      <w:r>
        <w:rPr>
          <w:rFonts w:hint="eastAsia" w:ascii="仿宋" w:hAnsi="仿宋" w:eastAsia="仿宋" w:cs="仿宋"/>
          <w:b/>
          <w:bCs/>
          <w:sz w:val="32"/>
          <w:szCs w:val="32"/>
          <w:lang w:val="en-US" w:eastAsia="zh-CN"/>
        </w:rPr>
        <w:t>（五）、绩效目标完成情况及具体做法</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1、绩效目标完成情况</w:t>
      </w:r>
    </w:p>
    <w:bookmarkEnd w:id="15"/>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lang w:val="en-US" w:eastAsia="zh-CN"/>
        </w:rPr>
      </w:pPr>
      <w:bookmarkStart w:id="19" w:name="_Toc6965"/>
      <w:bookmarkStart w:id="20" w:name="_Toc1262"/>
      <w:r>
        <w:rPr>
          <w:rFonts w:hint="eastAsia" w:ascii="仿宋" w:hAnsi="仿宋" w:eastAsia="仿宋" w:cs="仿宋"/>
          <w:sz w:val="32"/>
          <w:szCs w:val="32"/>
          <w:lang w:val="en-US" w:eastAsia="zh-CN"/>
        </w:rPr>
        <w:t>（1）2018年以来，在省委、省政府和州委、州政府的正确领导下，在省政府法制办的具体指导下，我州以建设法治政府为目标，深入贯彻落实党的十九大精神，不断加快转变政府职能，扎实有序推进各项业务工作，推进依法科学民主决策，完善政府立法体制，规范行政行为，全面提升行政机关工作人员，特别是领导干部运用法治思维和法治方式处理问题的能力，有效促进了全州经济社会持续快速发展，法治政府建设工作取得了显著成效。</w:t>
      </w:r>
    </w:p>
    <w:p>
      <w:pPr>
        <w:keepNext w:val="0"/>
        <w:keepLines w:val="0"/>
        <w:pageBreakBefore w:val="0"/>
        <w:widowControl w:val="0"/>
        <w:numPr>
          <w:ilvl w:val="0"/>
          <w:numId w:val="0"/>
        </w:numPr>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地方立法完成了《凤凰历史文化名城保护条例》（修改）、《湘西土家族苗族自治州传统村落保护与利用条例》、《湘西土家族苗族自治州气象灾害防御条例》3部立法任务，启动了《地质公园保护条例》、《遗传资源保护条例》、《城乡规划管理条例》的起草工作。出台《湘西自治州人民政府办公室关于开展依法行政示范单位创建活动的通知》，督促指导示范单位创建工作，全年验收10个示范单位创建，依法维护了群众合法权益。</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2018年州本级行政复议机关共收到行政复议申请42件，共审结复议案件31件（含上年度结转1件）,审结率为83.78%。其中，作出纠错决定的5件(其中撤销3件，撤销后责令被申请人重新作出行政行为3件)，纠错率为16.13%。实现行政复议申请依法受理率达到100%。</w:t>
      </w:r>
    </w:p>
    <w:p>
      <w:pPr>
        <w:numPr>
          <w:ilvl w:val="0"/>
          <w:numId w:val="0"/>
        </w:numPr>
        <w:ind w:firstLine="640" w:firstLineChars="200"/>
        <w:outlineLvl w:val="1"/>
        <w:rPr>
          <w:rFonts w:hint="eastAsia" w:ascii="仿宋" w:hAnsi="仿宋" w:eastAsia="仿宋" w:cs="仿宋"/>
          <w:b/>
          <w:bCs/>
          <w:sz w:val="32"/>
          <w:szCs w:val="32"/>
          <w:lang w:val="en-US" w:eastAsia="zh-CN"/>
        </w:rPr>
      </w:pPr>
      <w:r>
        <w:rPr>
          <w:rFonts w:hint="eastAsia" w:ascii="仿宋" w:hAnsi="仿宋" w:eastAsia="仿宋" w:cs="仿宋"/>
          <w:b w:val="0"/>
          <w:bCs w:val="0"/>
          <w:sz w:val="32"/>
          <w:szCs w:val="32"/>
          <w:highlight w:val="none"/>
          <w:lang w:val="en-US" w:eastAsia="zh-CN"/>
        </w:rPr>
        <w:t>2、本年整体项目实施情况</w:t>
      </w:r>
    </w:p>
    <w:p>
      <w:pPr>
        <w:ind w:firstLine="640" w:firstLineChars="200"/>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充分发挥法制机构在推进依法行政、建设法治政府方面的职能作用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color w:val="auto"/>
          <w:sz w:val="32"/>
          <w:szCs w:val="32"/>
        </w:rPr>
        <w:t>2018年州政府法制办共收到以州政府为被告的行政诉讼案件40件(其中最高人民法院立案再审1件，人民法院二审14件，人民法院一审24件)，是去年全年应诉案件数(2017年度行政应诉案19件)的2.1倍。现已审结18件，其中驳回诉讼请求(即政府胜诉)16件，占结案数的88.88%；二审法院判决原具体行政行为违法但不撤销原行政行为1件，占结案数的14.3%。一审法院判决州政府履行行政裁决(国土方面)1件，现州国土局代表州政府提起行政上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推进简政放权</w:t>
      </w:r>
    </w:p>
    <w:p>
      <w:pPr>
        <w:keepNext w:val="0"/>
        <w:keepLines w:val="0"/>
        <w:pageBreakBefore w:val="0"/>
        <w:widowControl w:val="0"/>
        <w:numPr>
          <w:ilvl w:val="0"/>
          <w:numId w:val="0"/>
        </w:numPr>
        <w:kinsoku/>
        <w:wordWrap/>
        <w:overflowPunct/>
        <w:topLinePunct w:val="0"/>
        <w:autoSpaceDE/>
        <w:autoSpaceDN/>
        <w:bidi w:val="0"/>
        <w:adjustRightInd/>
        <w:snapToGrid/>
        <w:spacing w:line="552"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完成“三清单”清理。权力清单，州政府部门权力清单从2017年的3123项精简为1751项，减少1372项，精简率达43.9%，已在州政府网站进行公布;责任清单，经过州直部门自查清理、州政府法制办集中审核确定后，州政府34个工作部门共有主要职责514项，与相关部门有职责分工或交叉的职能308项，建立事中事后监管制度334项；负面清单，由州发改委牵头负责清理，企业投资负面清单列明了751项企业在州内投资的限制、禁止和核准类项目。</w:t>
      </w:r>
    </w:p>
    <w:p>
      <w:pPr>
        <w:keepNext w:val="0"/>
        <w:keepLines w:val="0"/>
        <w:pageBreakBefore w:val="0"/>
        <w:widowControl w:val="0"/>
        <w:kinsoku/>
        <w:wordWrap/>
        <w:overflowPunct/>
        <w:topLinePunct w:val="0"/>
        <w:autoSpaceDE/>
        <w:autoSpaceDN/>
        <w:bidi w:val="0"/>
        <w:adjustRightInd/>
        <w:snapToGrid/>
        <w:spacing w:line="552"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优化政务服务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狠抓“三进”工作。今年来，州住建局机关审批科室及其业务全部整合进驻州中心受办理，6月20日，州政府发布《州直部门进驻州政府政务服务中心政务服务事项清单》，明确了进驻州政务中心政务服务事项447项，并在州政府网、州政务中心网站进行了公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州政务中心汇同州委组织部以花垣县为试点，在全县12个乡镇50个村（社区）试点推行“湘西e路通”工程，全已把民政、计生、公安、住建等13个部门45项涉及群众办事较多的政务服务事项审批权限下移到乡镇、村，通过“湘西e路通”实现网上办理，自今年试点开通运行以来，“湘西e路通”累计受理各类事项4328件，办结4074件，群众满意率达100%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积极推进信息平台建设</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州政府“云聚武陵”大数据中心建成投入使用，实现与34个州直单位、210个县直单位的数据交换和共享，数据中心沉淀历史数据达1.3亿条。同时，我州在全省率先打通国家数据共享交换平台，可调用获取国务院各部委533个数据接口和518个共享库表。6月27日湘西州本级‘互联网+政务服务’一体化平台正式上线运行，部分事项已实现了在线申请和资料填报。州本级共有36个单位入网行政许可事项163项、公共服务事项271项，共有23个单位产生办件2308件。7月底，我州12345政府服务热线平台成功实现与省12345监督管理平台对接。9月以来，吉首市、泸溪县12345政府服务热线正式启用运行，并实现与州12345政府服务热线的对接。我州12345政府服务热线平台共受理115件、已全部办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加强组织建设和制度建设，完善支部五化</w:t>
      </w:r>
    </w:p>
    <w:p>
      <w:pPr>
        <w:outlineLvl w:val="0"/>
        <w:rPr>
          <w:rFonts w:hint="eastAsia" w:ascii="仿宋" w:hAnsi="仿宋" w:eastAsia="仿宋" w:cs="仿宋"/>
          <w:color w:val="auto"/>
          <w:spacing w:val="-6"/>
          <w:sz w:val="32"/>
          <w:szCs w:val="32"/>
        </w:rPr>
      </w:pPr>
      <w:r>
        <w:rPr>
          <w:rFonts w:hint="eastAsia" w:ascii="仿宋" w:hAnsi="仿宋" w:eastAsia="仿宋" w:cs="仿宋"/>
          <w:color w:val="auto"/>
          <w:spacing w:val="-6"/>
          <w:sz w:val="32"/>
          <w:szCs w:val="32"/>
        </w:rPr>
        <w:t>围绕党支部五化建设推进党建标准化建设。召开了支部五化建设推进会，制定了支部五化建设工作方案，计划2020年支部五化完成率达到100%，今年主要完善了支部的阵地建设和制度建设。2018年我办积极开展党建工作“1+1”活动，支部书记下村上党课；建立党建联系点，到永顺县泽家镇猫土塘村党支部开展“支部找支部，党员对党员”活动，制定了结对明细表，全办15名党员与党建联系点25名党员结成对子进行帮扶；2018年我办完成党员到社区报到任务，深入开展了法制进乡村党员进社区活动，组织党员探望双河社区因病返贫精准扶贫户，为双河社区捐赠法律书籍和帮扶困难老兵，党员深受教育。</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扎实开展精准扶贫工作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仿宋" w:hAnsi="仿宋" w:eastAsia="仿宋" w:cs="仿宋"/>
          <w:color w:val="auto"/>
          <w:spacing w:val="-6"/>
          <w:sz w:val="32"/>
          <w:szCs w:val="32"/>
        </w:rPr>
      </w:pPr>
      <w:r>
        <w:rPr>
          <w:rFonts w:hint="eastAsia" w:ascii="仿宋" w:hAnsi="仿宋" w:eastAsia="仿宋" w:cs="仿宋"/>
          <w:color w:val="auto"/>
          <w:sz w:val="32"/>
          <w:szCs w:val="32"/>
        </w:rPr>
        <w:t>今年全村实现建档立卡贫困实施易地搬迁共65户，房屋拆除重建5个小组10户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危房改造4个小组7户。加强基础设施建设，改善生产生活条件。全年完成道路加宽0.8公里，完成投资20万元。向家组至拔古村喻家坡弯道急改缓、道路加宽</w:t>
      </w:r>
      <w:r>
        <w:rPr>
          <w:rFonts w:hint="eastAsia" w:ascii="仿宋" w:hAnsi="仿宋" w:eastAsia="仿宋" w:cs="仿宋"/>
          <w:color w:val="auto"/>
          <w:sz w:val="32"/>
          <w:szCs w:val="32"/>
          <w:lang w:val="en-US" w:eastAsia="zh-CN"/>
        </w:rPr>
        <w:t>并完成</w:t>
      </w:r>
      <w:r>
        <w:rPr>
          <w:rFonts w:hint="eastAsia" w:ascii="仿宋" w:hAnsi="仿宋" w:eastAsia="仿宋" w:cs="仿宋"/>
          <w:color w:val="auto"/>
          <w:sz w:val="32"/>
          <w:szCs w:val="32"/>
        </w:rPr>
        <w:t>舞台和健身场地的建设。新洞至杨坪组新建水渠300米，完成投资10万元；由后盾单位先后购买电脑1台，电脑桌2张，长4米宽0.4米液晶显示器1</w:t>
      </w:r>
      <w:r>
        <w:rPr>
          <w:rFonts w:hint="eastAsia" w:ascii="仿宋" w:hAnsi="仿宋" w:eastAsia="仿宋" w:cs="仿宋"/>
          <w:color w:val="auto"/>
          <w:spacing w:val="-6"/>
          <w:sz w:val="32"/>
          <w:szCs w:val="32"/>
        </w:rPr>
        <w:t>块，空调2台，改善了村部办公环境；</w:t>
      </w:r>
      <w:r>
        <w:rPr>
          <w:rFonts w:hint="eastAsia" w:ascii="仿宋" w:hAnsi="仿宋" w:eastAsia="仿宋" w:cs="仿宋"/>
          <w:color w:val="auto"/>
          <w:spacing w:val="-6"/>
          <w:sz w:val="32"/>
          <w:szCs w:val="32"/>
          <w:lang w:val="en-US" w:eastAsia="zh-CN"/>
        </w:rPr>
        <w:t>同时</w:t>
      </w:r>
      <w:r>
        <w:rPr>
          <w:rFonts w:hint="eastAsia" w:ascii="仿宋" w:hAnsi="仿宋" w:eastAsia="仿宋" w:cs="仿宋"/>
          <w:color w:val="auto"/>
          <w:spacing w:val="-6"/>
          <w:sz w:val="32"/>
          <w:szCs w:val="32"/>
        </w:rPr>
        <w:t>完善该村饮水安全工程。为肖家组和蔡家组新打机井1口，解决了两个组季节性缺水的历史遗留问题。新修整修水池5座，铺设管线7.3公里，完成投资11万元，解决了该村贾坝组、向家组等大多数村民的饮水困难问题</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rPr>
        <w:t>成立了猫子塘村电商平台和种养殖合作社</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rPr>
        <w:t>2018年脱贫14户48人。2018年按照国家标准完成贫困户人均纯收入稳步增长达到3400元以上的标准。</w:t>
      </w:r>
    </w:p>
    <w:bookmarkEnd w:id="19"/>
    <w:bookmarkEnd w:id="20"/>
    <w:p>
      <w:pPr>
        <w:pStyle w:val="3"/>
        <w:pageBreakBefore w:val="0"/>
        <w:widowControl w:val="0"/>
        <w:kinsoku/>
        <w:wordWrap/>
        <w:overflowPunct/>
        <w:topLinePunct w:val="0"/>
        <w:autoSpaceDE/>
        <w:autoSpaceDN/>
        <w:bidi w:val="0"/>
        <w:adjustRightInd/>
        <w:snapToGrid/>
        <w:spacing w:before="0" w:beforeLines="0" w:after="0" w:afterLines="0" w:line="600" w:lineRule="exact"/>
        <w:textAlignment w:val="auto"/>
        <w:rPr>
          <w:rFonts w:hint="eastAsia" w:ascii="仿宋" w:hAnsi="仿宋" w:eastAsia="仿宋" w:cs="仿宋"/>
          <w:b/>
          <w:bCs/>
          <w:sz w:val="32"/>
          <w:szCs w:val="32"/>
          <w:lang w:eastAsia="zh-CN"/>
        </w:rPr>
      </w:pPr>
      <w:bookmarkStart w:id="21" w:name="_Toc10389"/>
      <w:bookmarkStart w:id="22" w:name="_Toc29209"/>
      <w:r>
        <w:rPr>
          <w:rFonts w:hint="eastAsia" w:ascii="仿宋" w:hAnsi="仿宋" w:eastAsia="仿宋" w:cs="仿宋"/>
          <w:b/>
          <w:bCs/>
          <w:sz w:val="32"/>
          <w:szCs w:val="32"/>
        </w:rPr>
        <w:t>二、绩效评价</w:t>
      </w:r>
      <w:r>
        <w:rPr>
          <w:rFonts w:hint="eastAsia" w:ascii="仿宋" w:hAnsi="仿宋" w:eastAsia="仿宋" w:cs="仿宋"/>
          <w:b/>
          <w:bCs/>
          <w:sz w:val="32"/>
          <w:szCs w:val="32"/>
          <w:lang w:eastAsia="zh-CN"/>
        </w:rPr>
        <w:t>概述</w:t>
      </w:r>
    </w:p>
    <w:bookmarkEnd w:id="21"/>
    <w:bookmarkEnd w:id="22"/>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绩效评价目的</w:t>
      </w:r>
      <w:bookmarkStart w:id="23" w:name="_Toc7874"/>
      <w:bookmarkStart w:id="24" w:name="_Toc8959"/>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本次自评的目的是为规范财政资金管理，了解本部门201</w:t>
      </w:r>
      <w:r>
        <w:rPr>
          <w:rFonts w:hint="eastAsia" w:ascii="仿宋" w:hAnsi="仿宋" w:eastAsia="仿宋" w:cs="仿宋"/>
          <w:sz w:val="32"/>
          <w:szCs w:val="32"/>
          <w:lang w:val="en-US" w:eastAsia="zh-CN"/>
        </w:rPr>
        <w:t>8</w:t>
      </w:r>
      <w:r>
        <w:rPr>
          <w:rFonts w:hint="eastAsia" w:ascii="仿宋" w:hAnsi="仿宋" w:eastAsia="仿宋" w:cs="仿宋"/>
          <w:sz w:val="32"/>
          <w:szCs w:val="32"/>
        </w:rPr>
        <w:t>年度财政资金预算支出的绩效状况，为今后预算安排提供决策支持。进一步增强本部门支出管理的责任意识，优化支出结构，保障更好地履行职责，提高财政资金使用效益。更好的提升本部门在重要法制建设、立法工作、行政复议案件办理、规范性文件审查备案等方面的工作效益，为我州社会经济发展积极做贡献。</w:t>
      </w:r>
    </w:p>
    <w:p>
      <w:pPr>
        <w:pStyle w:val="3"/>
        <w:pageBreakBefore w:val="0"/>
        <w:widowControl w:val="0"/>
        <w:kinsoku/>
        <w:wordWrap/>
        <w:overflowPunct/>
        <w:topLinePunct w:val="0"/>
        <w:autoSpaceDE/>
        <w:autoSpaceDN/>
        <w:bidi w:val="0"/>
        <w:adjustRightInd/>
        <w:snapToGrid/>
        <w:spacing w:before="0" w:beforeLines="0" w:after="0" w:afterLines="0" w:line="546" w:lineRule="exac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绩效评价实施过程</w:t>
      </w:r>
      <w:bookmarkEnd w:id="23"/>
      <w:bookmarkEnd w:id="24"/>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根据《湘西州财政局关于开展201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年度州本级财政资金绩效自评工作的通知》（州财绩〔201</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5</w:t>
      </w:r>
      <w:r>
        <w:rPr>
          <w:rFonts w:hint="eastAsia" w:ascii="仿宋" w:hAnsi="仿宋" w:eastAsia="仿宋" w:cs="仿宋"/>
          <w:spacing w:val="-6"/>
          <w:sz w:val="32"/>
          <w:szCs w:val="32"/>
        </w:rPr>
        <w:t>号）等相关文件要求，州法制办制定了部门整体支出绩效评价的工作方案、评价指标，成立了绩效评价工作领导小组、绩效评价工作组，201</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年5月15日召开了现场评价工作安排部署会，于</w:t>
      </w:r>
      <w:r>
        <w:rPr>
          <w:rFonts w:hint="eastAsia" w:ascii="仿宋" w:hAnsi="仿宋" w:eastAsia="仿宋" w:cs="仿宋"/>
          <w:spacing w:val="-6"/>
          <w:sz w:val="32"/>
          <w:szCs w:val="32"/>
          <w:highlight w:val="none"/>
        </w:rPr>
        <w:t>6月30日完成</w:t>
      </w:r>
      <w:r>
        <w:rPr>
          <w:rFonts w:hint="eastAsia" w:ascii="仿宋" w:hAnsi="仿宋" w:eastAsia="仿宋" w:cs="仿宋"/>
          <w:spacing w:val="-6"/>
          <w:sz w:val="32"/>
          <w:szCs w:val="32"/>
        </w:rPr>
        <w:t>自评工作。绩效评价工作主要如下：</w:t>
      </w:r>
    </w:p>
    <w:p>
      <w:pPr>
        <w:pageBreakBefore w:val="0"/>
        <w:widowControl w:val="0"/>
        <w:kinsoku/>
        <w:wordWrap/>
        <w:overflowPunct/>
        <w:topLinePunct w:val="0"/>
        <w:autoSpaceDE/>
        <w:autoSpaceDN/>
        <w:bidi w:val="0"/>
        <w:adjustRightInd/>
        <w:snapToGrid/>
        <w:spacing w:line="546"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核实数据。对201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年度部门整体支出数据的准确性、真实性进行核实，将201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年度和201</w:t>
      </w:r>
      <w:r>
        <w:rPr>
          <w:rFonts w:hint="eastAsia" w:ascii="仿宋" w:hAnsi="仿宋" w:eastAsia="仿宋" w:cs="仿宋"/>
          <w:spacing w:val="-6"/>
          <w:sz w:val="32"/>
          <w:szCs w:val="32"/>
          <w:lang w:val="en-US" w:eastAsia="zh-CN"/>
        </w:rPr>
        <w:t>7</w:t>
      </w:r>
      <w:r>
        <w:rPr>
          <w:rFonts w:hint="eastAsia" w:ascii="仿宋" w:hAnsi="仿宋" w:eastAsia="仿宋" w:cs="仿宋"/>
          <w:spacing w:val="-6"/>
          <w:sz w:val="32"/>
          <w:szCs w:val="32"/>
        </w:rPr>
        <w:t>年度部门整体支出情况进行比较分析。</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2、</w:t>
      </w:r>
      <w:r>
        <w:rPr>
          <w:rFonts w:hint="eastAsia" w:ascii="仿宋" w:hAnsi="仿宋" w:eastAsia="仿宋" w:cs="仿宋"/>
          <w:spacing w:val="-6"/>
          <w:sz w:val="32"/>
          <w:szCs w:val="32"/>
        </w:rPr>
        <w:t>查阅资料。查阅201</w:t>
      </w:r>
      <w:r>
        <w:rPr>
          <w:rFonts w:hint="eastAsia" w:ascii="仿宋" w:hAnsi="仿宋" w:eastAsia="仿宋" w:cs="仿宋"/>
          <w:spacing w:val="-6"/>
          <w:sz w:val="32"/>
          <w:szCs w:val="32"/>
          <w:lang w:val="en-US" w:eastAsia="zh-CN"/>
        </w:rPr>
        <w:t>7</w:t>
      </w:r>
      <w:r>
        <w:rPr>
          <w:rFonts w:hint="eastAsia" w:ascii="仿宋" w:hAnsi="仿宋" w:eastAsia="仿宋" w:cs="仿宋"/>
          <w:spacing w:val="-6"/>
          <w:sz w:val="32"/>
          <w:szCs w:val="32"/>
        </w:rPr>
        <w:t>年、201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年度预算安排、非税收入、预算追加、资金管理、经费支出、资产管理等相关文件资料和财务凭证。</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实地查看。现场查看实物资产等。</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发放调查问卷。对部门履行职责情况的公众满意度向社会群众、服务对象、单位员工进行调查。</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归纳汇总。对收集的评价材料结合本部门情况进行综合分析、归纳汇总。</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根据评价材料结合各项评价指标进行分析评分。</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形成绩效评价报告。</w:t>
      </w:r>
    </w:p>
    <w:p>
      <w:pPr>
        <w:pStyle w:val="3"/>
        <w:pageBreakBefore w:val="0"/>
        <w:widowControl w:val="0"/>
        <w:kinsoku/>
        <w:wordWrap/>
        <w:overflowPunct/>
        <w:topLinePunct w:val="0"/>
        <w:autoSpaceDE/>
        <w:autoSpaceDN/>
        <w:bidi w:val="0"/>
        <w:adjustRightInd/>
        <w:snapToGrid/>
        <w:spacing w:before="0" w:beforeLines="0" w:after="0" w:afterLines="0" w:line="546" w:lineRule="exact"/>
        <w:textAlignment w:val="auto"/>
        <w:rPr>
          <w:rFonts w:hint="eastAsia" w:ascii="仿宋" w:hAnsi="仿宋" w:eastAsia="仿宋" w:cs="仿宋"/>
          <w:b/>
          <w:bCs/>
          <w:sz w:val="32"/>
          <w:szCs w:val="32"/>
        </w:rPr>
      </w:pPr>
      <w:bookmarkStart w:id="25" w:name="_Toc951"/>
      <w:bookmarkStart w:id="26" w:name="_Toc17684"/>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绩效评价的局限性</w:t>
      </w:r>
      <w:bookmarkEnd w:id="25"/>
      <w:bookmarkEnd w:id="26"/>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bookmarkStart w:id="27" w:name="_Toc32189"/>
      <w:bookmarkStart w:id="28" w:name="_Toc11"/>
      <w:r>
        <w:rPr>
          <w:rFonts w:hint="eastAsia" w:ascii="仿宋" w:hAnsi="仿宋" w:eastAsia="仿宋" w:cs="仿宋"/>
          <w:sz w:val="32"/>
          <w:szCs w:val="32"/>
          <w:lang w:val="en-US" w:eastAsia="zh-CN"/>
        </w:rPr>
        <w:t>1、</w:t>
      </w:r>
      <w:r>
        <w:rPr>
          <w:rFonts w:hint="eastAsia" w:ascii="仿宋" w:hAnsi="仿宋" w:eastAsia="仿宋" w:cs="仿宋"/>
          <w:sz w:val="32"/>
          <w:szCs w:val="32"/>
        </w:rPr>
        <w:t>社会信息的不平等性，可能导致评价结果出现差异。如发放调查问卷时，面对社会公众，而社会公众对单位情况不了解，导致调查流入形式。</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在设计绩效评价体系时目标的确定与量化往往带有较强的主观性与经验主义，这需要在评价过程中不断完善。</w:t>
      </w:r>
    </w:p>
    <w:p>
      <w:pPr>
        <w:pStyle w:val="2"/>
        <w:pageBreakBefore w:val="0"/>
        <w:widowControl w:val="0"/>
        <w:kinsoku/>
        <w:wordWrap/>
        <w:overflowPunct/>
        <w:topLinePunct w:val="0"/>
        <w:autoSpaceDE/>
        <w:autoSpaceDN/>
        <w:bidi w:val="0"/>
        <w:adjustRightInd/>
        <w:snapToGrid/>
        <w:spacing w:before="0" w:beforeLines="0" w:after="0" w:afterLines="0" w:line="546" w:lineRule="exact"/>
        <w:textAlignment w:val="auto"/>
        <w:rPr>
          <w:rFonts w:hint="eastAsia" w:ascii="仿宋" w:hAnsi="仿宋" w:eastAsia="仿宋" w:cs="仿宋"/>
          <w:sz w:val="32"/>
          <w:szCs w:val="32"/>
        </w:rPr>
      </w:pPr>
      <w:r>
        <w:rPr>
          <w:rFonts w:hint="eastAsia" w:ascii="仿宋" w:hAnsi="仿宋" w:eastAsia="仿宋" w:cs="仿宋"/>
          <w:sz w:val="32"/>
          <w:szCs w:val="32"/>
        </w:rPr>
        <w:t>三、部门整体支出绩效评价分析</w:t>
      </w:r>
      <w:bookmarkEnd w:id="27"/>
      <w:bookmarkEnd w:id="28"/>
    </w:p>
    <w:p>
      <w:pPr>
        <w:pageBreakBefore w:val="0"/>
        <w:widowControl w:val="0"/>
        <w:kinsoku/>
        <w:wordWrap/>
        <w:overflowPunct/>
        <w:topLinePunct w:val="0"/>
        <w:autoSpaceDE/>
        <w:autoSpaceDN/>
        <w:bidi w:val="0"/>
        <w:adjustRightInd/>
        <w:snapToGrid/>
        <w:spacing w:line="546" w:lineRule="exact"/>
        <w:ind w:firstLine="616" w:firstLineChars="200"/>
        <w:textAlignment w:val="auto"/>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（一）投入</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1、</w:t>
      </w:r>
      <w:r>
        <w:rPr>
          <w:rFonts w:hint="eastAsia" w:ascii="仿宋" w:hAnsi="仿宋" w:eastAsia="仿宋" w:cs="仿宋"/>
          <w:spacing w:val="-6"/>
          <w:sz w:val="32"/>
          <w:szCs w:val="32"/>
        </w:rPr>
        <w:t>绩效目标合理性（3分）</w:t>
      </w:r>
      <w:r>
        <w:rPr>
          <w:rFonts w:hint="eastAsia" w:ascii="仿宋" w:hAnsi="仿宋" w:eastAsia="仿宋" w:cs="仿宋"/>
          <w:spacing w:val="-6"/>
          <w:sz w:val="32"/>
          <w:szCs w:val="32"/>
          <w:lang w:eastAsia="zh-CN"/>
        </w:rPr>
        <w:t>：本单位</w:t>
      </w:r>
      <w:r>
        <w:rPr>
          <w:rFonts w:hint="eastAsia" w:ascii="仿宋" w:hAnsi="仿宋" w:eastAsia="仿宋" w:cs="仿宋"/>
          <w:spacing w:val="-6"/>
          <w:sz w:val="32"/>
          <w:szCs w:val="32"/>
        </w:rPr>
        <w:t>设立的整体绩效目标符合国家法律法规、国民经济和社会发展总体规划</w:t>
      </w:r>
      <w:r>
        <w:rPr>
          <w:rFonts w:hint="eastAsia" w:ascii="仿宋" w:hAnsi="仿宋" w:eastAsia="仿宋" w:cs="仿宋"/>
          <w:spacing w:val="-6"/>
          <w:sz w:val="32"/>
          <w:szCs w:val="32"/>
          <w:lang w:val="en-US" w:eastAsia="zh-CN"/>
        </w:rPr>
        <w:t>,</w:t>
      </w:r>
      <w:r>
        <w:rPr>
          <w:rFonts w:hint="eastAsia" w:ascii="仿宋" w:hAnsi="仿宋" w:eastAsia="仿宋" w:cs="仿宋"/>
          <w:spacing w:val="-6"/>
          <w:sz w:val="32"/>
          <w:szCs w:val="32"/>
          <w:lang w:eastAsia="zh-CN"/>
        </w:rPr>
        <w:t>符合</w:t>
      </w:r>
      <w:r>
        <w:rPr>
          <w:rFonts w:hint="eastAsia" w:ascii="仿宋" w:hAnsi="仿宋" w:eastAsia="仿宋" w:cs="仿宋"/>
          <w:spacing w:val="-6"/>
          <w:sz w:val="32"/>
          <w:szCs w:val="32"/>
        </w:rPr>
        <w:t>“三定”方案确定的职责</w:t>
      </w:r>
      <w:r>
        <w:rPr>
          <w:rFonts w:hint="eastAsia" w:ascii="仿宋" w:hAnsi="仿宋" w:eastAsia="仿宋" w:cs="仿宋"/>
          <w:spacing w:val="-6"/>
          <w:sz w:val="32"/>
          <w:szCs w:val="32"/>
          <w:lang w:eastAsia="zh-CN"/>
        </w:rPr>
        <w:t>与</w:t>
      </w:r>
      <w:r>
        <w:rPr>
          <w:rFonts w:hint="eastAsia" w:ascii="仿宋" w:hAnsi="仿宋" w:eastAsia="仿宋" w:cs="仿宋"/>
          <w:spacing w:val="-6"/>
          <w:sz w:val="32"/>
          <w:szCs w:val="32"/>
        </w:rPr>
        <w:t>部门制定的中长期实施规划。</w:t>
      </w:r>
      <w:r>
        <w:rPr>
          <w:rFonts w:hint="eastAsia" w:ascii="仿宋" w:hAnsi="仿宋" w:eastAsia="仿宋" w:cs="仿宋"/>
          <w:spacing w:val="-6"/>
          <w:sz w:val="32"/>
          <w:szCs w:val="32"/>
          <w:lang w:val="en-US" w:eastAsia="zh-CN"/>
        </w:rPr>
        <w:t>根据评价标准该项得分3分。</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绩效指标明确性（3分）：本单位设定的</w:t>
      </w:r>
      <w:r>
        <w:rPr>
          <w:rFonts w:hint="eastAsia" w:ascii="仿宋" w:hAnsi="仿宋" w:eastAsia="仿宋" w:cs="仿宋"/>
          <w:sz w:val="32"/>
          <w:szCs w:val="32"/>
          <w:lang w:val="en-US" w:eastAsia="zh-CN"/>
        </w:rPr>
        <w:t>整体</w:t>
      </w:r>
      <w:r>
        <w:rPr>
          <w:rFonts w:hint="eastAsia" w:ascii="仿宋" w:hAnsi="仿宋" w:eastAsia="仿宋" w:cs="仿宋"/>
          <w:sz w:val="32"/>
          <w:szCs w:val="32"/>
        </w:rPr>
        <w:t>绩</w:t>
      </w:r>
      <w:r>
        <w:rPr>
          <w:rFonts w:hint="eastAsia" w:ascii="仿宋" w:hAnsi="仿宋" w:eastAsia="仿宋" w:cs="仿宋"/>
          <w:sz w:val="32"/>
          <w:szCs w:val="32"/>
          <w:highlight w:val="none"/>
        </w:rPr>
        <w:t>效</w:t>
      </w:r>
      <w:r>
        <w:rPr>
          <w:rFonts w:hint="eastAsia" w:ascii="仿宋" w:hAnsi="仿宋" w:eastAsia="仿宋" w:cs="仿宋"/>
          <w:sz w:val="32"/>
          <w:szCs w:val="32"/>
          <w:highlight w:val="none"/>
          <w:lang w:val="en-US" w:eastAsia="zh-CN"/>
        </w:rPr>
        <w:t>目标没有</w:t>
      </w:r>
      <w:r>
        <w:rPr>
          <w:rFonts w:hint="eastAsia" w:ascii="仿宋" w:hAnsi="仿宋" w:eastAsia="仿宋" w:cs="仿宋"/>
          <w:sz w:val="32"/>
          <w:szCs w:val="32"/>
          <w:highlight w:val="none"/>
        </w:rPr>
        <w:t>分解为具体的工作任务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没有</w:t>
      </w:r>
      <w:r>
        <w:rPr>
          <w:rFonts w:hint="eastAsia" w:ascii="仿宋" w:hAnsi="仿宋" w:eastAsia="仿宋" w:cs="仿宋"/>
          <w:sz w:val="32"/>
          <w:szCs w:val="32"/>
          <w:highlight w:val="none"/>
        </w:rPr>
        <w:t>细化、与部门年</w:t>
      </w:r>
      <w:r>
        <w:rPr>
          <w:rFonts w:hint="eastAsia" w:ascii="仿宋" w:hAnsi="仿宋" w:eastAsia="仿宋" w:cs="仿宋"/>
          <w:sz w:val="32"/>
          <w:szCs w:val="32"/>
        </w:rPr>
        <w:t>度的任务数相对应，并与本年度部门预算资金相匹配。根据评价标准该项得分</w:t>
      </w:r>
      <w:r>
        <w:rPr>
          <w:rFonts w:hint="eastAsia" w:ascii="仿宋" w:hAnsi="仿宋" w:eastAsia="仿宋" w:cs="仿宋"/>
          <w:sz w:val="32"/>
          <w:szCs w:val="32"/>
          <w:lang w:val="en-US" w:eastAsia="zh-CN"/>
        </w:rPr>
        <w:t>1</w:t>
      </w:r>
      <w:r>
        <w:rPr>
          <w:rFonts w:hint="eastAsia" w:ascii="仿宋" w:hAnsi="仿宋" w:eastAsia="仿宋" w:cs="仿宋"/>
          <w:sz w:val="32"/>
          <w:szCs w:val="32"/>
        </w:rPr>
        <w:t>分。</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在职人员控制率（3分）：本部门及其下属二级机构201</w:t>
      </w:r>
      <w:r>
        <w:rPr>
          <w:rFonts w:hint="eastAsia" w:ascii="仿宋" w:hAnsi="仿宋" w:eastAsia="仿宋" w:cs="仿宋"/>
          <w:sz w:val="32"/>
          <w:szCs w:val="32"/>
          <w:lang w:val="en-US" w:eastAsia="zh-CN"/>
        </w:rPr>
        <w:t>8</w:t>
      </w:r>
      <w:r>
        <w:rPr>
          <w:rFonts w:hint="eastAsia" w:ascii="仿宋" w:hAnsi="仿宋" w:eastAsia="仿宋" w:cs="仿宋"/>
          <w:sz w:val="32"/>
          <w:szCs w:val="32"/>
        </w:rPr>
        <w:t>年度编制人数共</w:t>
      </w:r>
      <w:r>
        <w:rPr>
          <w:rFonts w:hint="eastAsia" w:ascii="仿宋" w:hAnsi="仿宋" w:eastAsia="仿宋" w:cs="仿宋"/>
          <w:sz w:val="32"/>
          <w:szCs w:val="32"/>
          <w:lang w:val="en-US" w:eastAsia="zh-CN"/>
        </w:rPr>
        <w:t>13</w:t>
      </w:r>
      <w:r>
        <w:rPr>
          <w:rFonts w:hint="eastAsia" w:ascii="仿宋" w:hAnsi="仿宋" w:eastAsia="仿宋" w:cs="仿宋"/>
          <w:sz w:val="32"/>
          <w:szCs w:val="32"/>
        </w:rPr>
        <w:t>人，实际在职人员为1</w:t>
      </w:r>
      <w:r>
        <w:rPr>
          <w:rFonts w:hint="eastAsia" w:ascii="仿宋" w:hAnsi="仿宋" w:eastAsia="仿宋" w:cs="仿宋"/>
          <w:sz w:val="32"/>
          <w:szCs w:val="32"/>
          <w:lang w:val="en-US" w:eastAsia="zh-CN"/>
        </w:rPr>
        <w:t>1</w:t>
      </w:r>
      <w:r>
        <w:rPr>
          <w:rFonts w:hint="eastAsia" w:ascii="仿宋" w:hAnsi="仿宋" w:eastAsia="仿宋" w:cs="仿宋"/>
          <w:sz w:val="32"/>
          <w:szCs w:val="32"/>
        </w:rPr>
        <w:t>人，实际在职人员数与编制数的比率＝（在职人员数÷编制数）×100%=（</w:t>
      </w:r>
      <w:r>
        <w:rPr>
          <w:rFonts w:hint="eastAsia" w:ascii="仿宋" w:hAnsi="仿宋" w:eastAsia="仿宋" w:cs="仿宋"/>
          <w:sz w:val="32"/>
          <w:szCs w:val="32"/>
          <w:lang w:val="en-US" w:eastAsia="zh-CN"/>
        </w:rPr>
        <w:t>11</w:t>
      </w:r>
      <w:r>
        <w:rPr>
          <w:rFonts w:hint="eastAsia" w:ascii="仿宋" w:hAnsi="仿宋" w:eastAsia="仿宋" w:cs="仿宋"/>
          <w:sz w:val="32"/>
          <w:szCs w:val="32"/>
        </w:rPr>
        <w:t>÷</w:t>
      </w:r>
      <w:r>
        <w:rPr>
          <w:rFonts w:hint="eastAsia" w:ascii="仿宋" w:hAnsi="仿宋" w:eastAsia="仿宋" w:cs="仿宋"/>
          <w:sz w:val="32"/>
          <w:szCs w:val="32"/>
          <w:lang w:val="en-US" w:eastAsia="zh-CN"/>
        </w:rPr>
        <w:t>13</w:t>
      </w:r>
      <w:r>
        <w:rPr>
          <w:rFonts w:hint="eastAsia" w:ascii="仿宋" w:hAnsi="仿宋" w:eastAsia="仿宋" w:cs="仿宋"/>
          <w:sz w:val="32"/>
          <w:szCs w:val="32"/>
        </w:rPr>
        <w:t>）×100%＝</w:t>
      </w:r>
      <w:r>
        <w:rPr>
          <w:rFonts w:hint="eastAsia" w:ascii="仿宋" w:hAnsi="仿宋" w:eastAsia="仿宋" w:cs="仿宋"/>
          <w:sz w:val="32"/>
          <w:szCs w:val="32"/>
          <w:lang w:val="en-US" w:eastAsia="zh-CN"/>
        </w:rPr>
        <w:t>84.62</w:t>
      </w:r>
      <w:r>
        <w:rPr>
          <w:rFonts w:hint="eastAsia" w:ascii="仿宋" w:hAnsi="仿宋" w:eastAsia="仿宋" w:cs="仿宋"/>
          <w:sz w:val="32"/>
          <w:szCs w:val="32"/>
        </w:rPr>
        <w:t>%，根据评分标准，本部门该项指标得满分3分。</w:t>
      </w:r>
    </w:p>
    <w:p>
      <w:pPr>
        <w:pageBreakBefore w:val="0"/>
        <w:widowControl w:val="0"/>
        <w:kinsoku/>
        <w:wordWrap/>
        <w:overflowPunct/>
        <w:topLinePunct w:val="0"/>
        <w:autoSpaceDE/>
        <w:autoSpaceDN/>
        <w:bidi w:val="0"/>
        <w:adjustRightInd/>
        <w:snapToGrid/>
        <w:spacing w:line="546" w:lineRule="exact"/>
        <w:ind w:firstLine="56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“三公经费”变动率情况(4分)： </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年度预算安排“三公经费”总额为9万元，201</w:t>
      </w:r>
      <w:r>
        <w:rPr>
          <w:rFonts w:hint="eastAsia" w:ascii="仿宋" w:hAnsi="仿宋" w:eastAsia="仿宋" w:cs="仿宋"/>
          <w:sz w:val="32"/>
          <w:szCs w:val="32"/>
          <w:lang w:val="en-US" w:eastAsia="zh-CN"/>
        </w:rPr>
        <w:t>7</w:t>
      </w:r>
      <w:r>
        <w:rPr>
          <w:rFonts w:hint="eastAsia" w:ascii="仿宋" w:hAnsi="仿宋" w:eastAsia="仿宋" w:cs="仿宋"/>
          <w:sz w:val="32"/>
          <w:szCs w:val="32"/>
        </w:rPr>
        <w:t>年度预算安排“三公经费”总额为9万元，本部门“三公经费”变动率＝（本年度“三公经费”预算数－上年度“三公经费”预算数）÷上年度“三公经费预算数”＝</w:t>
      </w:r>
      <w:r>
        <w:rPr>
          <w:rFonts w:hint="eastAsia" w:ascii="仿宋" w:hAnsi="仿宋" w:eastAsia="仿宋" w:cs="仿宋"/>
          <w:sz w:val="32"/>
          <w:szCs w:val="32"/>
          <w:lang w:val="en-US" w:eastAsia="zh-CN"/>
        </w:rPr>
        <w:t>0</w:t>
      </w:r>
      <w:r>
        <w:rPr>
          <w:rFonts w:hint="eastAsia" w:ascii="仿宋" w:hAnsi="仿宋" w:eastAsia="仿宋" w:cs="仿宋"/>
          <w:sz w:val="32"/>
          <w:szCs w:val="32"/>
        </w:rPr>
        <w:t>。根据评分标准，本部门该项指标得满分4分。</w:t>
      </w:r>
    </w:p>
    <w:p>
      <w:pPr>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过程</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预算执行情况</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color w:val="auto"/>
          <w:sz w:val="32"/>
          <w:szCs w:val="32"/>
        </w:rPr>
        <w:t>①预算完成率（5分）：</w:t>
      </w:r>
      <w:r>
        <w:rPr>
          <w:rFonts w:hint="eastAsia" w:ascii="仿宋" w:hAnsi="仿宋" w:eastAsia="仿宋" w:cs="仿宋"/>
          <w:sz w:val="32"/>
          <w:szCs w:val="32"/>
        </w:rPr>
        <w:t>本部门财政资金上年结转和结余73.51万元（</w:t>
      </w:r>
      <w:r>
        <w:rPr>
          <w:rFonts w:hint="eastAsia" w:ascii="仿宋" w:hAnsi="仿宋" w:eastAsia="仿宋" w:cs="仿宋"/>
          <w:sz w:val="32"/>
          <w:szCs w:val="32"/>
          <w:lang w:val="en-US" w:eastAsia="zh-CN"/>
        </w:rPr>
        <w:t>基本支出结转为0.88万元，</w:t>
      </w:r>
      <w:r>
        <w:rPr>
          <w:rFonts w:hint="eastAsia" w:ascii="仿宋" w:hAnsi="仿宋" w:eastAsia="仿宋" w:cs="仿宋"/>
          <w:sz w:val="32"/>
          <w:szCs w:val="32"/>
        </w:rPr>
        <w:t>项目支出结转和结余72.63万元），年初预算197.37万元，本年追加预算147.24万元，年末财政资金结转和结余50.98万元（其中基本支出结转7.51万元，项目支出结转和结余43.47万元），本部门预算完成率＝（上年结转+年初预算+本年追加预算－年末结余）÷（上年结转+年初预算+本年追加预算）×100%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87.81%</w:t>
      </w:r>
      <w:r>
        <w:rPr>
          <w:rFonts w:hint="eastAsia" w:ascii="仿宋" w:hAnsi="仿宋" w:eastAsia="仿宋" w:cs="仿宋"/>
          <w:color w:val="auto"/>
          <w:sz w:val="32"/>
          <w:szCs w:val="32"/>
        </w:rPr>
        <w:t>，</w:t>
      </w:r>
      <w:r>
        <w:rPr>
          <w:rFonts w:hint="eastAsia" w:ascii="仿宋" w:hAnsi="仿宋" w:eastAsia="仿宋" w:cs="仿宋"/>
          <w:sz w:val="32"/>
          <w:szCs w:val="32"/>
        </w:rPr>
        <w:t>根据评分标准，本部门该项指标</w:t>
      </w:r>
      <w:r>
        <w:rPr>
          <w:rFonts w:hint="eastAsia" w:ascii="仿宋" w:hAnsi="仿宋" w:eastAsia="仿宋" w:cs="仿宋"/>
          <w:sz w:val="32"/>
          <w:szCs w:val="32"/>
          <w:highlight w:val="none"/>
        </w:rPr>
        <w:t>得</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color w:val="auto"/>
          <w:sz w:val="32"/>
          <w:szCs w:val="32"/>
        </w:rPr>
        <w:t>②预算控制率（5分）：</w:t>
      </w:r>
      <w:r>
        <w:rPr>
          <w:rFonts w:hint="eastAsia" w:ascii="仿宋" w:hAnsi="仿宋" w:eastAsia="仿宋" w:cs="仿宋"/>
          <w:sz w:val="32"/>
          <w:szCs w:val="32"/>
        </w:rPr>
        <w:t>本部门本年预算追加数为</w:t>
      </w:r>
      <w:r>
        <w:rPr>
          <w:rFonts w:hint="eastAsia" w:ascii="仿宋" w:hAnsi="仿宋" w:eastAsia="仿宋" w:cs="仿宋"/>
          <w:sz w:val="32"/>
          <w:szCs w:val="32"/>
          <w:lang w:val="en-US" w:eastAsia="zh-CN"/>
        </w:rPr>
        <w:t>147.24</w:t>
      </w:r>
      <w:r>
        <w:rPr>
          <w:rFonts w:hint="eastAsia" w:ascii="仿宋" w:hAnsi="仿宋" w:eastAsia="仿宋" w:cs="仿宋"/>
          <w:sz w:val="32"/>
          <w:szCs w:val="32"/>
        </w:rPr>
        <w:t>万元</w:t>
      </w:r>
      <w:r>
        <w:rPr>
          <w:rFonts w:hint="eastAsia" w:ascii="仿宋" w:hAnsi="仿宋" w:eastAsia="仿宋" w:cs="仿宋"/>
          <w:sz w:val="32"/>
          <w:szCs w:val="32"/>
          <w:lang w:eastAsia="zh-CN"/>
        </w:rPr>
        <w:t>，剔除</w:t>
      </w:r>
      <w:r>
        <w:rPr>
          <w:rFonts w:hint="eastAsia" w:ascii="仿宋" w:hAnsi="仿宋" w:eastAsia="仿宋" w:cs="仿宋"/>
          <w:sz w:val="32"/>
          <w:szCs w:val="32"/>
        </w:rPr>
        <w:t>年初不可预计经费及项目追加资金</w:t>
      </w:r>
      <w:r>
        <w:rPr>
          <w:rFonts w:hint="eastAsia" w:ascii="仿宋" w:hAnsi="仿宋" w:eastAsia="仿宋" w:cs="仿宋"/>
          <w:sz w:val="32"/>
          <w:szCs w:val="32"/>
          <w:lang w:val="en-US" w:eastAsia="zh-CN"/>
        </w:rPr>
        <w:t>59.53万元</w:t>
      </w:r>
      <w:r>
        <w:rPr>
          <w:rFonts w:hint="eastAsia" w:ascii="仿宋" w:hAnsi="仿宋" w:eastAsia="仿宋" w:cs="仿宋"/>
          <w:sz w:val="32"/>
          <w:szCs w:val="32"/>
          <w:lang w:eastAsia="zh-CN"/>
        </w:rPr>
        <w:t>（</w:t>
      </w:r>
      <w:r>
        <w:rPr>
          <w:rFonts w:hint="eastAsia" w:ascii="仿宋" w:hAnsi="仿宋" w:eastAsia="仿宋" w:cs="仿宋"/>
          <w:sz w:val="32"/>
          <w:szCs w:val="32"/>
        </w:rPr>
        <w:t>说明详见本报告四，其他事项说明</w:t>
      </w:r>
      <w:r>
        <w:rPr>
          <w:rFonts w:hint="eastAsia" w:ascii="仿宋" w:hAnsi="仿宋" w:eastAsia="仿宋" w:cs="仿宋"/>
          <w:sz w:val="32"/>
          <w:szCs w:val="32"/>
          <w:lang w:eastAsia="zh-CN"/>
        </w:rPr>
        <w:t>）</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197.37</w:t>
      </w:r>
      <w:r>
        <w:rPr>
          <w:rFonts w:hint="eastAsia" w:ascii="仿宋" w:hAnsi="仿宋" w:eastAsia="仿宋" w:cs="仿宋"/>
          <w:sz w:val="32"/>
          <w:szCs w:val="32"/>
        </w:rPr>
        <w:t>万元，本公式按</w:t>
      </w:r>
      <w:r>
        <w:rPr>
          <w:rFonts w:hint="eastAsia" w:ascii="仿宋" w:hAnsi="仿宋" w:eastAsia="仿宋" w:cs="仿宋"/>
          <w:sz w:val="32"/>
          <w:szCs w:val="32"/>
          <w:lang w:eastAsia="zh-CN"/>
        </w:rPr>
        <w:t>剔除后实际</w:t>
      </w:r>
      <w:r>
        <w:rPr>
          <w:rFonts w:hint="eastAsia" w:ascii="仿宋" w:hAnsi="仿宋" w:eastAsia="仿宋" w:cs="仿宋"/>
          <w:sz w:val="32"/>
          <w:szCs w:val="32"/>
        </w:rPr>
        <w:t>追加</w:t>
      </w:r>
      <w:r>
        <w:rPr>
          <w:rFonts w:hint="eastAsia" w:ascii="仿宋" w:hAnsi="仿宋" w:eastAsia="仿宋" w:cs="仿宋"/>
          <w:sz w:val="32"/>
          <w:szCs w:val="32"/>
          <w:lang w:val="en-US" w:eastAsia="zh-CN"/>
        </w:rPr>
        <w:t>8</w:t>
      </w:r>
      <w:r>
        <w:rPr>
          <w:rFonts w:hint="eastAsia" w:ascii="仿宋" w:hAnsi="仿宋" w:eastAsia="仿宋" w:cs="仿宋"/>
          <w:color w:val="000000"/>
          <w:spacing w:val="-6"/>
          <w:sz w:val="32"/>
          <w:szCs w:val="32"/>
          <w:lang w:val="en-US" w:eastAsia="zh-CN"/>
        </w:rPr>
        <w:t>7.71</w:t>
      </w:r>
      <w:r>
        <w:rPr>
          <w:rFonts w:hint="eastAsia" w:ascii="仿宋" w:hAnsi="仿宋" w:eastAsia="仿宋" w:cs="仿宋"/>
          <w:sz w:val="32"/>
          <w:szCs w:val="32"/>
          <w:lang w:val="en-US" w:eastAsia="zh-CN"/>
        </w:rPr>
        <w:t>万元</w:t>
      </w:r>
      <w:r>
        <w:rPr>
          <w:rFonts w:hint="eastAsia" w:ascii="仿宋" w:hAnsi="仿宋" w:eastAsia="仿宋" w:cs="仿宋"/>
          <w:sz w:val="32"/>
          <w:szCs w:val="32"/>
        </w:rPr>
        <w:t>计算，预算控制率＝（本年预算追加数÷年初预算）×100%＝</w:t>
      </w:r>
      <w:r>
        <w:rPr>
          <w:rFonts w:hint="eastAsia" w:ascii="仿宋" w:hAnsi="仿宋" w:eastAsia="仿宋" w:cs="仿宋"/>
          <w:sz w:val="32"/>
          <w:szCs w:val="32"/>
          <w:lang w:val="en-US" w:eastAsia="zh-CN"/>
        </w:rPr>
        <w:t>44.44%，</w:t>
      </w:r>
      <w:r>
        <w:rPr>
          <w:rFonts w:hint="eastAsia" w:ascii="仿宋" w:hAnsi="仿宋" w:eastAsia="仿宋" w:cs="仿宋"/>
          <w:sz w:val="32"/>
          <w:szCs w:val="32"/>
        </w:rPr>
        <w:t>根据评分标准，本部门该项指标得</w:t>
      </w:r>
      <w:r>
        <w:rPr>
          <w:rFonts w:hint="eastAsia" w:ascii="仿宋" w:hAnsi="仿宋" w:eastAsia="仿宋" w:cs="仿宋"/>
          <w:sz w:val="32"/>
          <w:szCs w:val="32"/>
          <w:lang w:val="en-US" w:eastAsia="zh-CN"/>
        </w:rPr>
        <w:t>3</w:t>
      </w:r>
      <w:r>
        <w:rPr>
          <w:rFonts w:hint="eastAsia" w:ascii="仿宋" w:hAnsi="仿宋" w:eastAsia="仿宋" w:cs="仿宋"/>
          <w:sz w:val="32"/>
          <w:szCs w:val="32"/>
        </w:rPr>
        <w:t>分。</w:t>
      </w:r>
    </w:p>
    <w:p>
      <w:pPr>
        <w:ind w:firstLine="560"/>
        <w:rPr>
          <w:rFonts w:hint="eastAsia" w:ascii="仿宋" w:hAnsi="仿宋" w:eastAsia="仿宋" w:cs="仿宋"/>
          <w:sz w:val="32"/>
          <w:szCs w:val="32"/>
        </w:rPr>
      </w:pPr>
      <w:r>
        <w:rPr>
          <w:rFonts w:hint="eastAsia" w:ascii="仿宋" w:hAnsi="仿宋" w:eastAsia="仿宋" w:cs="仿宋"/>
          <w:sz w:val="32"/>
          <w:szCs w:val="32"/>
        </w:rPr>
        <w:t>③新建楼堂馆所面积控制率（5分）：201</w:t>
      </w:r>
      <w:r>
        <w:rPr>
          <w:rFonts w:hint="eastAsia" w:ascii="仿宋" w:hAnsi="仿宋" w:eastAsia="仿宋" w:cs="仿宋"/>
          <w:sz w:val="32"/>
          <w:szCs w:val="32"/>
          <w:lang w:val="en-US" w:eastAsia="zh-CN"/>
        </w:rPr>
        <w:t>8</w:t>
      </w:r>
      <w:r>
        <w:rPr>
          <w:rFonts w:hint="eastAsia" w:ascii="仿宋" w:hAnsi="仿宋" w:eastAsia="仿宋" w:cs="仿宋"/>
          <w:sz w:val="32"/>
          <w:szCs w:val="32"/>
        </w:rPr>
        <w:t>年本单位无完工的新建楼堂馆所，根据评分标准，本单位该项指标得满分5分。</w:t>
      </w:r>
    </w:p>
    <w:p>
      <w:pPr>
        <w:ind w:firstLine="560"/>
        <w:rPr>
          <w:rFonts w:hint="eastAsia" w:ascii="仿宋" w:hAnsi="仿宋" w:eastAsia="仿宋" w:cs="仿宋"/>
          <w:sz w:val="32"/>
          <w:szCs w:val="32"/>
        </w:rPr>
      </w:pPr>
      <w:r>
        <w:rPr>
          <w:rFonts w:hint="eastAsia" w:ascii="仿宋" w:hAnsi="仿宋" w:eastAsia="仿宋" w:cs="仿宋"/>
          <w:sz w:val="32"/>
          <w:szCs w:val="32"/>
        </w:rPr>
        <w:t>④新建楼堂馆所投资概算控制率（5分），201</w:t>
      </w:r>
      <w:r>
        <w:rPr>
          <w:rFonts w:hint="eastAsia" w:ascii="仿宋" w:hAnsi="仿宋" w:eastAsia="仿宋" w:cs="仿宋"/>
          <w:sz w:val="32"/>
          <w:szCs w:val="32"/>
          <w:lang w:val="en-US" w:eastAsia="zh-CN"/>
        </w:rPr>
        <w:t>8</w:t>
      </w:r>
      <w:r>
        <w:rPr>
          <w:rFonts w:hint="eastAsia" w:ascii="仿宋" w:hAnsi="仿宋" w:eastAsia="仿宋" w:cs="仿宋"/>
          <w:sz w:val="32"/>
          <w:szCs w:val="32"/>
        </w:rPr>
        <w:t>年本单位无完工的新建楼堂馆所，根据评分标准，本单位该项指标得满分5分。</w:t>
      </w:r>
    </w:p>
    <w:p>
      <w:pPr>
        <w:ind w:firstLine="560"/>
        <w:rPr>
          <w:rFonts w:hint="eastAsia" w:ascii="仿宋" w:hAnsi="仿宋" w:eastAsia="仿宋" w:cs="仿宋"/>
          <w:sz w:val="32"/>
          <w:szCs w:val="32"/>
        </w:rPr>
      </w:pPr>
      <w:r>
        <w:rPr>
          <w:rFonts w:hint="eastAsia" w:ascii="仿宋" w:hAnsi="仿宋" w:eastAsia="仿宋" w:cs="仿宋"/>
          <w:sz w:val="32"/>
          <w:szCs w:val="32"/>
        </w:rPr>
        <w:t>（2）预算管理情况</w:t>
      </w:r>
    </w:p>
    <w:p>
      <w:pPr>
        <w:ind w:firstLine="560"/>
        <w:rPr>
          <w:rFonts w:hint="eastAsia" w:ascii="仿宋" w:hAnsi="仿宋" w:eastAsia="仿宋" w:cs="仿宋"/>
          <w:sz w:val="32"/>
          <w:szCs w:val="32"/>
        </w:rPr>
      </w:pPr>
      <w:r>
        <w:rPr>
          <w:rFonts w:hint="eastAsia" w:ascii="仿宋" w:hAnsi="仿宋" w:eastAsia="仿宋" w:cs="仿宋"/>
          <w:sz w:val="32"/>
          <w:szCs w:val="32"/>
        </w:rPr>
        <w:t>①公用经费控制率（8分）：201</w:t>
      </w:r>
      <w:r>
        <w:rPr>
          <w:rFonts w:hint="eastAsia" w:ascii="仿宋" w:hAnsi="仿宋" w:eastAsia="仿宋" w:cs="仿宋"/>
          <w:sz w:val="32"/>
          <w:szCs w:val="32"/>
          <w:lang w:val="en-US" w:eastAsia="zh-CN"/>
        </w:rPr>
        <w:t>8</w:t>
      </w:r>
      <w:r>
        <w:rPr>
          <w:rFonts w:hint="eastAsia" w:ascii="仿宋" w:hAnsi="仿宋" w:eastAsia="仿宋" w:cs="仿宋"/>
          <w:sz w:val="32"/>
          <w:szCs w:val="32"/>
        </w:rPr>
        <w:t>年度本部门</w:t>
      </w:r>
      <w:r>
        <w:rPr>
          <w:rFonts w:hint="eastAsia" w:ascii="仿宋" w:hAnsi="仿宋" w:eastAsia="仿宋" w:cs="仿宋"/>
          <w:sz w:val="32"/>
          <w:szCs w:val="32"/>
          <w:highlight w:val="none"/>
        </w:rPr>
        <w:t>实际</w:t>
      </w:r>
      <w:r>
        <w:rPr>
          <w:rFonts w:hint="eastAsia" w:ascii="仿宋" w:hAnsi="仿宋" w:eastAsia="仿宋" w:cs="仿宋"/>
          <w:sz w:val="32"/>
          <w:szCs w:val="32"/>
          <w:highlight w:val="none"/>
          <w:lang w:val="en-US" w:eastAsia="zh-CN"/>
        </w:rPr>
        <w:t>日常</w:t>
      </w:r>
      <w:r>
        <w:rPr>
          <w:rFonts w:hint="eastAsia" w:ascii="仿宋" w:hAnsi="仿宋" w:eastAsia="仿宋" w:cs="仿宋"/>
          <w:sz w:val="32"/>
          <w:szCs w:val="32"/>
          <w:highlight w:val="none"/>
        </w:rPr>
        <w:t>公用经费支</w:t>
      </w:r>
      <w:r>
        <w:rPr>
          <w:rFonts w:hint="eastAsia" w:ascii="仿宋" w:hAnsi="仿宋" w:eastAsia="仿宋" w:cs="仿宋"/>
          <w:color w:val="auto"/>
          <w:sz w:val="32"/>
          <w:szCs w:val="32"/>
          <w:highlight w:val="none"/>
        </w:rPr>
        <w:t>出为</w:t>
      </w:r>
      <w:r>
        <w:rPr>
          <w:rFonts w:hint="eastAsia" w:ascii="仿宋" w:hAnsi="仿宋" w:eastAsia="仿宋" w:cs="仿宋"/>
          <w:color w:val="auto"/>
          <w:sz w:val="32"/>
          <w:szCs w:val="32"/>
          <w:highlight w:val="none"/>
          <w:lang w:val="en-US" w:eastAsia="zh-CN"/>
        </w:rPr>
        <w:t>17.93</w:t>
      </w:r>
      <w:r>
        <w:rPr>
          <w:rFonts w:hint="eastAsia" w:ascii="仿宋" w:hAnsi="仿宋" w:eastAsia="仿宋" w:cs="仿宋"/>
          <w:color w:val="auto"/>
          <w:sz w:val="32"/>
          <w:szCs w:val="32"/>
          <w:highlight w:val="none"/>
        </w:rPr>
        <w:t>万元，预</w:t>
      </w:r>
      <w:r>
        <w:rPr>
          <w:rFonts w:hint="eastAsia" w:ascii="仿宋" w:hAnsi="仿宋" w:eastAsia="仿宋" w:cs="仿宋"/>
          <w:sz w:val="32"/>
          <w:szCs w:val="32"/>
          <w:highlight w:val="none"/>
        </w:rPr>
        <w:t>算安排公用经费总额为</w:t>
      </w:r>
      <w:r>
        <w:rPr>
          <w:rFonts w:hint="eastAsia" w:ascii="仿宋" w:hAnsi="仿宋" w:eastAsia="仿宋" w:cs="仿宋"/>
          <w:sz w:val="32"/>
          <w:szCs w:val="32"/>
          <w:highlight w:val="none"/>
          <w:lang w:val="en-US" w:eastAsia="zh-CN"/>
        </w:rPr>
        <w:t>35.2</w:t>
      </w:r>
      <w:r>
        <w:rPr>
          <w:rFonts w:hint="eastAsia" w:ascii="仿宋" w:hAnsi="仿宋" w:eastAsia="仿宋" w:cs="仿宋"/>
          <w:sz w:val="32"/>
          <w:szCs w:val="32"/>
          <w:lang w:val="en-US" w:eastAsia="zh-CN"/>
        </w:rPr>
        <w:t>4</w:t>
      </w:r>
      <w:r>
        <w:rPr>
          <w:rFonts w:hint="eastAsia" w:ascii="仿宋" w:hAnsi="仿宋" w:eastAsia="仿宋" w:cs="仿宋"/>
          <w:sz w:val="32"/>
          <w:szCs w:val="32"/>
        </w:rPr>
        <w:t>万元，本部门公用经费控制率＝（实际支出公用经费总额÷预算安排公用经费总额）×100%＝</w:t>
      </w:r>
      <w:r>
        <w:rPr>
          <w:rFonts w:hint="eastAsia" w:ascii="仿宋" w:hAnsi="仿宋" w:eastAsia="仿宋" w:cs="仿宋"/>
          <w:sz w:val="32"/>
          <w:szCs w:val="32"/>
          <w:lang w:val="en-US" w:eastAsia="zh-CN"/>
        </w:rPr>
        <w:t>50.88%</w:t>
      </w:r>
      <w:r>
        <w:rPr>
          <w:rFonts w:hint="eastAsia" w:ascii="仿宋" w:hAnsi="仿宋" w:eastAsia="仿宋" w:cs="仿宋"/>
          <w:sz w:val="32"/>
          <w:szCs w:val="32"/>
        </w:rPr>
        <w:t>&lt;100%，根据评分标准，本部门该项指标得满分8分。</w:t>
      </w:r>
    </w:p>
    <w:p>
      <w:pPr>
        <w:ind w:firstLine="560"/>
        <w:rPr>
          <w:rFonts w:hint="eastAsia" w:ascii="仿宋" w:hAnsi="仿宋" w:eastAsia="仿宋" w:cs="仿宋"/>
          <w:sz w:val="32"/>
          <w:szCs w:val="32"/>
        </w:rPr>
      </w:pPr>
      <w:r>
        <w:rPr>
          <w:rFonts w:hint="eastAsia" w:ascii="仿宋" w:hAnsi="仿宋" w:eastAsia="仿宋" w:cs="仿宋"/>
          <w:color w:val="auto"/>
          <w:sz w:val="32"/>
          <w:szCs w:val="32"/>
        </w:rPr>
        <w:t>②“三公经费”控制率（8分）：</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年度本部门“三公经费”实际支出数为</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45</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41</w:t>
      </w:r>
      <w:r>
        <w:rPr>
          <w:rFonts w:hint="eastAsia" w:ascii="仿宋" w:hAnsi="仿宋" w:eastAsia="仿宋" w:cs="仿宋"/>
          <w:sz w:val="32"/>
          <w:szCs w:val="32"/>
        </w:rPr>
        <w:t>万元、公务用车运行维护费3.</w:t>
      </w:r>
      <w:r>
        <w:rPr>
          <w:rFonts w:hint="eastAsia" w:ascii="仿宋" w:hAnsi="仿宋" w:eastAsia="仿宋" w:cs="仿宋"/>
          <w:sz w:val="32"/>
          <w:szCs w:val="32"/>
          <w:lang w:val="en-US" w:eastAsia="zh-CN"/>
        </w:rPr>
        <w:t>04</w:t>
      </w:r>
      <w:r>
        <w:rPr>
          <w:rFonts w:hint="eastAsia" w:ascii="仿宋" w:hAnsi="仿宋" w:eastAsia="仿宋" w:cs="仿宋"/>
          <w:sz w:val="32"/>
          <w:szCs w:val="32"/>
        </w:rPr>
        <w:t>万元），“三公经费”年初预算数为9.00万元，三公经费”控制率＝（“三公经费”实际支出数÷“三公经费”预算安排数）×100%＝</w:t>
      </w:r>
      <w:r>
        <w:rPr>
          <w:rFonts w:hint="eastAsia" w:ascii="仿宋" w:hAnsi="仿宋" w:eastAsia="仿宋" w:cs="仿宋"/>
          <w:sz w:val="32"/>
          <w:szCs w:val="32"/>
          <w:lang w:val="en-US" w:eastAsia="zh-CN"/>
        </w:rPr>
        <w:t>49.44</w:t>
      </w:r>
      <w:r>
        <w:rPr>
          <w:rFonts w:hint="eastAsia" w:ascii="仿宋" w:hAnsi="仿宋" w:eastAsia="仿宋" w:cs="仿宋"/>
          <w:sz w:val="32"/>
          <w:szCs w:val="32"/>
        </w:rPr>
        <w:t>%&lt;100%，根据评分标准，本部门该项指标得满分8分。</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z w:val="32"/>
          <w:szCs w:val="32"/>
        </w:rPr>
      </w:pPr>
      <w:r>
        <w:rPr>
          <w:rFonts w:hint="eastAsia" w:ascii="仿宋" w:hAnsi="仿宋" w:eastAsia="仿宋" w:cs="仿宋"/>
          <w:color w:val="auto"/>
          <w:sz w:val="32"/>
          <w:szCs w:val="32"/>
        </w:rPr>
        <w:t>③政府采购执行率（6分）：</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年度本部门实际政府采购金额为</w:t>
      </w:r>
      <w:r>
        <w:rPr>
          <w:rFonts w:hint="eastAsia" w:ascii="仿宋" w:hAnsi="仿宋" w:eastAsia="仿宋" w:cs="仿宋"/>
          <w:sz w:val="32"/>
          <w:szCs w:val="32"/>
          <w:lang w:val="en-US" w:eastAsia="zh-CN"/>
        </w:rPr>
        <w:t>3</w:t>
      </w:r>
      <w:r>
        <w:rPr>
          <w:rFonts w:hint="eastAsia" w:ascii="仿宋" w:hAnsi="仿宋" w:eastAsia="仿宋" w:cs="仿宋"/>
          <w:sz w:val="32"/>
          <w:szCs w:val="32"/>
        </w:rPr>
        <w:t>万元，年初预算政府采购金额为</w:t>
      </w:r>
      <w:r>
        <w:rPr>
          <w:rFonts w:hint="eastAsia" w:ascii="仿宋" w:hAnsi="仿宋" w:eastAsia="仿宋" w:cs="仿宋"/>
          <w:sz w:val="32"/>
          <w:szCs w:val="32"/>
          <w:lang w:val="en-US" w:eastAsia="zh-CN"/>
        </w:rPr>
        <w:t>3</w:t>
      </w:r>
      <w:r>
        <w:rPr>
          <w:rFonts w:hint="eastAsia" w:ascii="仿宋" w:hAnsi="仿宋" w:eastAsia="仿宋" w:cs="仿宋"/>
          <w:sz w:val="32"/>
          <w:szCs w:val="32"/>
        </w:rPr>
        <w:t>万元，政府采购执行率=（实际政府采购金额/政府采购预算数）×100%=</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0%。根据评分标准，本部门该项指标得</w:t>
      </w:r>
      <w:r>
        <w:rPr>
          <w:rFonts w:hint="eastAsia" w:ascii="仿宋" w:hAnsi="仿宋" w:eastAsia="仿宋" w:cs="仿宋"/>
          <w:sz w:val="32"/>
          <w:szCs w:val="32"/>
          <w:lang w:val="en-US" w:eastAsia="zh-CN"/>
        </w:rPr>
        <w:t>6</w:t>
      </w:r>
      <w:r>
        <w:rPr>
          <w:rFonts w:hint="eastAsia" w:ascii="仿宋" w:hAnsi="仿宋" w:eastAsia="仿宋" w:cs="仿宋"/>
          <w:sz w:val="32"/>
          <w:szCs w:val="32"/>
        </w:rPr>
        <w:t>分。</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④管理制度健全性（8分）：本部门建立各项管理制度，有财务管理制度，厉行节约制度，相关管理制度合法、合规、完整，并得到有效执行，根据评分标准，本部门该项指标得满分8分。</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⑤资金使用合规性（6分）：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6分。</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⑥预决算信息公开性（5分）：本部门201</w:t>
      </w:r>
      <w:r>
        <w:rPr>
          <w:rFonts w:hint="eastAsia" w:ascii="仿宋" w:hAnsi="仿宋" w:eastAsia="仿宋" w:cs="仿宋"/>
          <w:sz w:val="32"/>
          <w:szCs w:val="32"/>
          <w:lang w:val="en-US" w:eastAsia="zh-CN"/>
        </w:rPr>
        <w:t>8</w:t>
      </w:r>
      <w:r>
        <w:rPr>
          <w:rFonts w:hint="eastAsia" w:ascii="仿宋" w:hAnsi="仿宋" w:eastAsia="仿宋" w:cs="仿宋"/>
          <w:sz w:val="32"/>
          <w:szCs w:val="32"/>
        </w:rPr>
        <w:t>年度财政预算、决算报表已按要求在湘西州人民政府法制办公室网上公开，本部门基础数据信息和会计信息资料真实、完整，基础数据信息和汇集信息资料准确。根据评分标准，本部门该项指标得满分5分。</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3、产出</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（1）职责履行（8分）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重点工作完成率（8分）：</w:t>
      </w:r>
    </w:p>
    <w:p>
      <w:pPr>
        <w:keepNext w:val="0"/>
        <w:keepLines w:val="0"/>
        <w:pageBreakBefore w:val="0"/>
        <w:widowControl w:val="0"/>
        <w:kinsoku/>
        <w:wordWrap/>
        <w:overflowPunct/>
        <w:topLinePunct w:val="0"/>
        <w:autoSpaceDE/>
        <w:autoSpaceDN/>
        <w:bidi w:val="0"/>
        <w:adjustRightInd/>
        <w:snapToGrid/>
        <w:spacing w:line="592" w:lineRule="exact"/>
        <w:ind w:firstLine="560"/>
        <w:textAlignment w:val="auto"/>
        <w:outlineLvl w:val="9"/>
        <w:rPr>
          <w:rFonts w:hint="eastAsia" w:ascii="仿宋" w:hAnsi="仿宋" w:eastAsia="仿宋" w:cs="仿宋"/>
          <w:spacing w:val="-6"/>
          <w:sz w:val="32"/>
          <w:szCs w:val="32"/>
        </w:rPr>
      </w:pPr>
      <w:r>
        <w:rPr>
          <w:rFonts w:hint="eastAsia" w:ascii="仿宋" w:hAnsi="仿宋" w:eastAsia="仿宋" w:cs="仿宋"/>
          <w:spacing w:val="-6"/>
          <w:sz w:val="32"/>
          <w:szCs w:val="32"/>
        </w:rPr>
        <w:t>根据湘西自治州绩效考核管理办公室州办〔201</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〕2号《关于</w:t>
      </w:r>
      <w:r>
        <w:rPr>
          <w:rFonts w:hint="eastAsia" w:ascii="仿宋" w:hAnsi="仿宋" w:eastAsia="仿宋" w:cs="仿宋"/>
          <w:spacing w:val="-6"/>
          <w:sz w:val="32"/>
          <w:szCs w:val="32"/>
          <w:lang w:val="en-US" w:eastAsia="zh-CN"/>
        </w:rPr>
        <w:t>反馈</w:t>
      </w:r>
      <w:r>
        <w:rPr>
          <w:rFonts w:hint="eastAsia" w:ascii="仿宋" w:hAnsi="仿宋" w:eastAsia="仿宋" w:cs="仿宋"/>
          <w:spacing w:val="-6"/>
          <w:sz w:val="32"/>
          <w:szCs w:val="32"/>
        </w:rPr>
        <w:t>201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年度全州五个文明建设绩效考核</w:t>
      </w:r>
      <w:r>
        <w:rPr>
          <w:rFonts w:hint="eastAsia" w:ascii="仿宋" w:hAnsi="仿宋" w:eastAsia="仿宋" w:cs="仿宋"/>
          <w:spacing w:val="-6"/>
          <w:sz w:val="32"/>
          <w:szCs w:val="32"/>
          <w:lang w:val="en-US" w:eastAsia="zh-CN"/>
        </w:rPr>
        <w:t>评分定等有关情况的函</w:t>
      </w:r>
      <w:r>
        <w:rPr>
          <w:rFonts w:hint="eastAsia" w:ascii="仿宋" w:hAnsi="仿宋" w:eastAsia="仿宋" w:cs="仿宋"/>
          <w:spacing w:val="-6"/>
          <w:sz w:val="32"/>
          <w:szCs w:val="32"/>
        </w:rPr>
        <w:t>》，本部门201</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年度绩效考核结果为</w:t>
      </w:r>
      <w:r>
        <w:rPr>
          <w:rFonts w:hint="eastAsia" w:ascii="仿宋" w:hAnsi="仿宋" w:eastAsia="仿宋" w:cs="仿宋"/>
          <w:spacing w:val="-6"/>
          <w:sz w:val="32"/>
          <w:szCs w:val="32"/>
          <w:lang w:val="en-US" w:eastAsia="zh-CN"/>
        </w:rPr>
        <w:t>良好</w:t>
      </w:r>
      <w:r>
        <w:rPr>
          <w:rFonts w:hint="eastAsia" w:ascii="仿宋" w:hAnsi="仿宋" w:eastAsia="仿宋" w:cs="仿宋"/>
          <w:spacing w:val="-6"/>
          <w:sz w:val="32"/>
          <w:szCs w:val="32"/>
        </w:rPr>
        <w:t>单位，综合得分为9</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49</w:t>
      </w:r>
      <w:r>
        <w:rPr>
          <w:rFonts w:hint="eastAsia" w:ascii="仿宋" w:hAnsi="仿宋" w:eastAsia="仿宋" w:cs="仿宋"/>
          <w:spacing w:val="-6"/>
          <w:sz w:val="32"/>
          <w:szCs w:val="32"/>
        </w:rPr>
        <w:t>3分，则本部门重点工作实际完成率得分＝（绩效办对应部分考核得分÷100）×8＝7.</w:t>
      </w:r>
      <w:r>
        <w:rPr>
          <w:rFonts w:hint="eastAsia" w:ascii="仿宋" w:hAnsi="仿宋" w:eastAsia="仿宋" w:cs="仿宋"/>
          <w:spacing w:val="-6"/>
          <w:sz w:val="32"/>
          <w:szCs w:val="32"/>
          <w:lang w:val="en-US" w:eastAsia="zh-CN"/>
        </w:rPr>
        <w:t>88</w:t>
      </w:r>
      <w:r>
        <w:rPr>
          <w:rFonts w:hint="eastAsia" w:ascii="仿宋" w:hAnsi="仿宋" w:eastAsia="仿宋" w:cs="仿宋"/>
          <w:spacing w:val="-6"/>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（2）履职效益</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①</w:t>
      </w:r>
      <w:r>
        <w:rPr>
          <w:rFonts w:hint="eastAsia" w:ascii="仿宋" w:hAnsi="仿宋" w:eastAsia="仿宋" w:cs="仿宋"/>
          <w:sz w:val="32"/>
          <w:szCs w:val="32"/>
        </w:rPr>
        <w:t>社会效益（</w:t>
      </w:r>
      <w:r>
        <w:rPr>
          <w:rFonts w:hint="eastAsia" w:ascii="仿宋" w:hAnsi="仿宋" w:eastAsia="仿宋" w:cs="仿宋"/>
          <w:sz w:val="32"/>
          <w:szCs w:val="32"/>
          <w:lang w:val="en-US" w:eastAsia="zh-CN"/>
        </w:rPr>
        <w:t>6</w:t>
      </w:r>
      <w:r>
        <w:rPr>
          <w:rFonts w:hint="eastAsia" w:ascii="仿宋" w:hAnsi="仿宋" w:eastAsia="仿宋" w:cs="仿宋"/>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spacing w:val="-6"/>
          <w:sz w:val="32"/>
          <w:szCs w:val="32"/>
        </w:rPr>
      </w:pPr>
      <w:r>
        <w:rPr>
          <w:rFonts w:hint="eastAsia" w:ascii="仿宋" w:hAnsi="仿宋" w:eastAsia="仿宋" w:cs="仿宋"/>
          <w:sz w:val="32"/>
          <w:szCs w:val="32"/>
        </w:rPr>
        <w:t>本单位201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年度</w:t>
      </w:r>
      <w:r>
        <w:rPr>
          <w:rFonts w:hint="eastAsia" w:ascii="仿宋" w:hAnsi="仿宋" w:eastAsia="仿宋" w:cs="仿宋"/>
          <w:sz w:val="32"/>
          <w:szCs w:val="32"/>
          <w:lang w:val="en-US" w:eastAsia="zh-CN"/>
        </w:rPr>
        <w:t>通过100%依法参与、100%依法办结与受理年度行政复议案件，解决当事人的矛盾纠纷维护社会稳定；用立法保护和传承民族民间文化工作，加大对湘西特色村的保护工作，实现美丽湘西建设；2018年脱贫14户48人。2018年按照国家标准完成贫困户人均纯收入稳步增长达到3400元以上的标准。</w:t>
      </w:r>
      <w:r>
        <w:rPr>
          <w:rFonts w:hint="eastAsia" w:ascii="仿宋" w:hAnsi="仿宋" w:eastAsia="仿宋" w:cs="仿宋"/>
          <w:spacing w:val="-6"/>
          <w:sz w:val="32"/>
          <w:szCs w:val="32"/>
        </w:rPr>
        <w:t>根据评分标准，本部门该项指标得满分</w:t>
      </w:r>
      <w:r>
        <w:rPr>
          <w:rFonts w:hint="eastAsia" w:ascii="仿宋" w:hAnsi="仿宋" w:eastAsia="仿宋" w:cs="仿宋"/>
          <w:spacing w:val="-6"/>
          <w:sz w:val="32"/>
          <w:szCs w:val="32"/>
          <w:lang w:val="en-US" w:eastAsia="zh-CN"/>
        </w:rPr>
        <w:t>6</w:t>
      </w:r>
      <w:r>
        <w:rPr>
          <w:rFonts w:hint="eastAsia" w:ascii="仿宋" w:hAnsi="仿宋" w:eastAsia="仿宋" w:cs="仿宋"/>
          <w:spacing w:val="-6"/>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行政效能（6分）：本单位201</w:t>
      </w:r>
      <w:r>
        <w:rPr>
          <w:rFonts w:hint="eastAsia" w:ascii="仿宋" w:hAnsi="仿宋" w:eastAsia="仿宋" w:cs="仿宋"/>
          <w:sz w:val="32"/>
          <w:szCs w:val="32"/>
          <w:lang w:val="en-US" w:eastAsia="zh-CN"/>
        </w:rPr>
        <w:t>8</w:t>
      </w:r>
      <w:r>
        <w:rPr>
          <w:rFonts w:hint="eastAsia" w:ascii="仿宋" w:hAnsi="仿宋" w:eastAsia="仿宋" w:cs="仿宋"/>
          <w:sz w:val="32"/>
          <w:szCs w:val="32"/>
        </w:rPr>
        <w:t>年度不断改善行政管理，加强制度体系建设，201</w:t>
      </w:r>
      <w:r>
        <w:rPr>
          <w:rFonts w:hint="eastAsia" w:ascii="仿宋" w:hAnsi="仿宋" w:eastAsia="仿宋" w:cs="仿宋"/>
          <w:sz w:val="32"/>
          <w:szCs w:val="32"/>
          <w:lang w:val="en-US" w:eastAsia="zh-CN"/>
        </w:rPr>
        <w:t>8</w:t>
      </w:r>
      <w:r>
        <w:rPr>
          <w:rFonts w:hint="eastAsia" w:ascii="仿宋" w:hAnsi="仿宋" w:eastAsia="仿宋" w:cs="仿宋"/>
          <w:sz w:val="32"/>
          <w:szCs w:val="32"/>
        </w:rPr>
        <w:t>年根据社会发展及服务对象对本单位的工作要求，本</w:t>
      </w:r>
      <w:r>
        <w:rPr>
          <w:rFonts w:hint="eastAsia" w:ascii="仿宋" w:hAnsi="仿宋" w:eastAsia="仿宋" w:cs="仿宋"/>
          <w:sz w:val="32"/>
          <w:szCs w:val="32"/>
          <w:lang w:val="en-US" w:eastAsia="zh-CN"/>
        </w:rPr>
        <w:t>单位</w:t>
      </w:r>
      <w:r>
        <w:rPr>
          <w:rFonts w:hint="eastAsia" w:ascii="仿宋" w:hAnsi="仿宋" w:eastAsia="仿宋" w:cs="仿宋"/>
          <w:sz w:val="32"/>
          <w:szCs w:val="32"/>
        </w:rPr>
        <w:t>改进了文风会风，精简会议、文件，严格资产管理和经费使用，积极推动网上办事和政务公开。同时行政效率提高，行政成本进一步降低。因此，根据评分标准，本</w:t>
      </w:r>
      <w:r>
        <w:rPr>
          <w:rFonts w:hint="eastAsia" w:ascii="仿宋" w:hAnsi="仿宋" w:eastAsia="仿宋" w:cs="仿宋"/>
          <w:sz w:val="32"/>
          <w:szCs w:val="32"/>
          <w:lang w:val="en-US" w:eastAsia="zh-CN"/>
        </w:rPr>
        <w:t>部门</w:t>
      </w:r>
      <w:r>
        <w:rPr>
          <w:rFonts w:hint="eastAsia" w:ascii="仿宋" w:hAnsi="仿宋" w:eastAsia="仿宋" w:cs="仿宋"/>
          <w:sz w:val="32"/>
          <w:szCs w:val="32"/>
        </w:rPr>
        <w:t>该项指标得分6分。</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③</w:t>
      </w:r>
      <w:r>
        <w:rPr>
          <w:rFonts w:hint="eastAsia" w:ascii="仿宋" w:hAnsi="仿宋" w:eastAsia="仿宋" w:cs="仿宋"/>
          <w:color w:val="auto"/>
          <w:sz w:val="32"/>
          <w:szCs w:val="32"/>
        </w:rPr>
        <w:t>社会公众或服务对象满意度（6分）</w:t>
      </w:r>
      <w:r>
        <w:rPr>
          <w:rFonts w:hint="eastAsia" w:ascii="仿宋" w:hAnsi="仿宋" w:eastAsia="仿宋" w:cs="仿宋"/>
          <w:sz w:val="32"/>
          <w:szCs w:val="32"/>
        </w:rPr>
        <w:t>：本次绩效自评，我们向社会公众、服务对象、本部门内部员工发放问卷调查30份（本部门员工10份、服务对象10份、社会公众10份），从收回的问卷调查了解，社会公众、服务对象对本部门的工作现状评价、深入基层调查研究、掌握真实、准确情况，促进社会经济发展，依法办事、依法行政，杜绝不作为和乱作为，改革和完善机关办事制度，缩短办事时间，提高工作效率，厉行节约、制止奢侈浪费行为等各方面均给予了满意的评价，满意度分别为：服务对象为95.2</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、社会公众94.07 </w:t>
      </w:r>
      <w:r>
        <w:rPr>
          <w:rFonts w:hint="eastAsia" w:ascii="仿宋" w:hAnsi="仿宋" w:eastAsia="仿宋" w:cs="仿宋"/>
          <w:sz w:val="32"/>
          <w:szCs w:val="32"/>
          <w:lang w:val="en-US" w:eastAsia="zh-CN"/>
        </w:rPr>
        <w:t>%</w:t>
      </w:r>
      <w:r>
        <w:rPr>
          <w:rFonts w:hint="eastAsia" w:ascii="仿宋" w:hAnsi="仿宋" w:eastAsia="仿宋" w:cs="仿宋"/>
          <w:sz w:val="32"/>
          <w:szCs w:val="32"/>
        </w:rPr>
        <w:t>、部门内部员工为92.6</w:t>
      </w:r>
      <w:r>
        <w:rPr>
          <w:rFonts w:hint="eastAsia" w:ascii="仿宋" w:hAnsi="仿宋" w:eastAsia="仿宋" w:cs="仿宋"/>
          <w:sz w:val="32"/>
          <w:szCs w:val="32"/>
          <w:lang w:val="en-US" w:eastAsia="zh-CN"/>
        </w:rPr>
        <w:t>%</w:t>
      </w:r>
      <w:r>
        <w:rPr>
          <w:rFonts w:hint="eastAsia" w:ascii="仿宋" w:hAnsi="仿宋" w:eastAsia="仿宋" w:cs="仿宋"/>
          <w:sz w:val="32"/>
          <w:szCs w:val="32"/>
        </w:rPr>
        <w:t>，社会公众或服务对象综合满意度＝（服务对象满意度×50%+社会公众满意度×40%+部门内部员工满意度×10%）=</w:t>
      </w:r>
      <w:r>
        <w:rPr>
          <w:rFonts w:hint="eastAsia" w:ascii="仿宋" w:hAnsi="仿宋" w:eastAsia="仿宋" w:cs="仿宋"/>
          <w:color w:val="auto"/>
          <w:sz w:val="32"/>
          <w:szCs w:val="32"/>
        </w:rPr>
        <w:t xml:space="preserve">94.49 </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，得分为优秀，</w:t>
      </w:r>
      <w:r>
        <w:rPr>
          <w:rFonts w:hint="eastAsia" w:ascii="仿宋" w:hAnsi="仿宋" w:eastAsia="仿宋" w:cs="仿宋"/>
          <w:sz w:val="32"/>
          <w:szCs w:val="32"/>
        </w:rPr>
        <w:t>根据评分标准，本部门该项指标得满分6分。</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四、需要说明事项</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关于本单位计算预算控制率指标</w:t>
      </w:r>
      <w:r>
        <w:rPr>
          <w:rFonts w:hint="eastAsia" w:ascii="仿宋" w:hAnsi="仿宋" w:eastAsia="仿宋" w:cs="仿宋"/>
          <w:color w:val="000000"/>
          <w:sz w:val="32"/>
          <w:szCs w:val="32"/>
          <w:highlight w:val="none"/>
          <w:lang w:eastAsia="zh-CN"/>
        </w:rPr>
        <w:t>时</w:t>
      </w:r>
      <w:r>
        <w:rPr>
          <w:rFonts w:hint="eastAsia" w:ascii="仿宋" w:hAnsi="仿宋" w:eastAsia="仿宋" w:cs="仿宋"/>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rPr>
        <w:t>本单位201</w:t>
      </w:r>
      <w:r>
        <w:rPr>
          <w:rFonts w:hint="eastAsia" w:ascii="仿宋" w:hAnsi="仿宋" w:eastAsia="仿宋" w:cs="仿宋"/>
          <w:color w:val="000000"/>
          <w:spacing w:val="0"/>
          <w:sz w:val="32"/>
          <w:szCs w:val="32"/>
          <w:lang w:val="en-US" w:eastAsia="zh-CN"/>
        </w:rPr>
        <w:t>8</w:t>
      </w:r>
      <w:r>
        <w:rPr>
          <w:rFonts w:hint="eastAsia" w:ascii="仿宋" w:hAnsi="仿宋" w:eastAsia="仿宋" w:cs="仿宋"/>
          <w:color w:val="000000"/>
          <w:spacing w:val="0"/>
          <w:sz w:val="32"/>
          <w:szCs w:val="32"/>
        </w:rPr>
        <w:t>年共追加资金1</w:t>
      </w:r>
      <w:r>
        <w:rPr>
          <w:rFonts w:hint="eastAsia" w:ascii="仿宋" w:hAnsi="仿宋" w:eastAsia="仿宋" w:cs="仿宋"/>
          <w:color w:val="000000"/>
          <w:spacing w:val="0"/>
          <w:sz w:val="32"/>
          <w:szCs w:val="32"/>
          <w:lang w:val="en-US" w:eastAsia="zh-CN"/>
        </w:rPr>
        <w:t>47</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val="en-US" w:eastAsia="zh-CN"/>
        </w:rPr>
        <w:t>24</w:t>
      </w:r>
      <w:r>
        <w:rPr>
          <w:rFonts w:hint="eastAsia" w:ascii="仿宋" w:hAnsi="仿宋" w:eastAsia="仿宋" w:cs="仿宋"/>
          <w:color w:val="000000"/>
          <w:spacing w:val="0"/>
          <w:sz w:val="32"/>
          <w:szCs w:val="32"/>
        </w:rPr>
        <w:t>万元，其中</w:t>
      </w:r>
      <w:r>
        <w:rPr>
          <w:rFonts w:hint="eastAsia" w:ascii="仿宋" w:hAnsi="仿宋" w:eastAsia="仿宋" w:cs="仿宋"/>
          <w:color w:val="000000"/>
          <w:spacing w:val="0"/>
          <w:sz w:val="32"/>
          <w:szCs w:val="32"/>
          <w:lang w:val="en-US" w:eastAsia="zh-CN"/>
        </w:rPr>
        <w:t>属于单位不可控制的追加共有59.53万元，主要是</w:t>
      </w:r>
      <w:r>
        <w:rPr>
          <w:rFonts w:hint="eastAsia" w:ascii="仿宋" w:hAnsi="仿宋" w:eastAsia="仿宋" w:cs="仿宋"/>
          <w:color w:val="000000"/>
          <w:spacing w:val="0"/>
          <w:sz w:val="32"/>
          <w:szCs w:val="32"/>
          <w:lang w:eastAsia="zh-CN"/>
        </w:rPr>
        <w:t>基本支出追加</w:t>
      </w:r>
      <w:r>
        <w:rPr>
          <w:rFonts w:hint="eastAsia" w:ascii="仿宋" w:hAnsi="仿宋" w:eastAsia="仿宋" w:cs="仿宋"/>
          <w:color w:val="000000"/>
          <w:spacing w:val="0"/>
          <w:sz w:val="32"/>
          <w:szCs w:val="32"/>
          <w:lang w:val="en-US" w:eastAsia="zh-CN"/>
        </w:rPr>
        <w:t>59.53万元，为财政拨款各项奖励经费（综治奖、文明奖等）；该追加的预算不是单位主观意愿能够控制的，因此我单位在计算预算追加数时将其剔除，追加数按87.71万元计算。</w:t>
      </w:r>
    </w:p>
    <w:p>
      <w:pPr>
        <w:keepNext w:val="0"/>
        <w:keepLines w:val="0"/>
        <w:pageBreakBefore w:val="0"/>
        <w:widowControl w:val="0"/>
        <w:kinsoku/>
        <w:wordWrap/>
        <w:overflowPunct/>
        <w:topLinePunct w:val="0"/>
        <w:autoSpaceDE/>
        <w:autoSpaceDN/>
        <w:bidi w:val="0"/>
        <w:adjustRightInd/>
        <w:snapToGrid/>
        <w:spacing w:line="544"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五、绩效评价结论</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1、绩效评价得分情况</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根据评价指标体系测算，本部门整体支出绩效评价得分是：投入绩效为1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分，过程绩效为</w:t>
      </w:r>
      <w:r>
        <w:rPr>
          <w:rFonts w:hint="eastAsia" w:ascii="仿宋" w:hAnsi="仿宋" w:eastAsia="仿宋" w:cs="仿宋"/>
          <w:color w:val="000000"/>
          <w:sz w:val="32"/>
          <w:szCs w:val="32"/>
          <w:lang w:val="en-US" w:eastAsia="zh-CN"/>
        </w:rPr>
        <w:t>55</w:t>
      </w:r>
      <w:r>
        <w:rPr>
          <w:rFonts w:hint="eastAsia" w:ascii="仿宋" w:hAnsi="仿宋" w:eastAsia="仿宋" w:cs="仿宋"/>
          <w:color w:val="000000"/>
          <w:sz w:val="32"/>
          <w:szCs w:val="32"/>
        </w:rPr>
        <w:t>分，产出及效率绩效为2</w:t>
      </w:r>
      <w:r>
        <w:rPr>
          <w:rFonts w:hint="eastAsia" w:ascii="仿宋" w:hAnsi="仿宋" w:eastAsia="仿宋" w:cs="仿宋"/>
          <w:color w:val="000000"/>
          <w:sz w:val="32"/>
          <w:szCs w:val="32"/>
          <w:lang w:val="en-US" w:eastAsia="zh-CN"/>
        </w:rPr>
        <w:t>5.88</w:t>
      </w:r>
      <w:r>
        <w:rPr>
          <w:rFonts w:hint="eastAsia" w:ascii="仿宋" w:hAnsi="仿宋" w:eastAsia="仿宋" w:cs="仿宋"/>
          <w:color w:val="000000"/>
          <w:sz w:val="32"/>
          <w:szCs w:val="32"/>
        </w:rPr>
        <w:t>分，总绩效为</w:t>
      </w:r>
      <w:r>
        <w:rPr>
          <w:rFonts w:hint="eastAsia" w:ascii="仿宋" w:hAnsi="仿宋" w:eastAsia="仿宋" w:cs="仿宋"/>
          <w:color w:val="000000"/>
          <w:sz w:val="32"/>
          <w:szCs w:val="32"/>
          <w:lang w:val="en-US" w:eastAsia="zh-CN"/>
        </w:rPr>
        <w:t>91.88</w:t>
      </w:r>
      <w:r>
        <w:rPr>
          <w:rFonts w:hint="eastAsia" w:ascii="仿宋" w:hAnsi="仿宋" w:eastAsia="仿宋" w:cs="仿宋"/>
          <w:color w:val="000000"/>
          <w:sz w:val="32"/>
          <w:szCs w:val="32"/>
        </w:rPr>
        <w:t>分。评价结果等次为“</w:t>
      </w:r>
      <w:r>
        <w:rPr>
          <w:rFonts w:hint="eastAsia" w:ascii="仿宋" w:hAnsi="仿宋" w:eastAsia="仿宋" w:cs="仿宋"/>
          <w:color w:val="000000"/>
          <w:sz w:val="32"/>
          <w:szCs w:val="32"/>
          <w:lang w:val="en-US" w:eastAsia="zh-CN"/>
        </w:rPr>
        <w:t>优</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2、存在绩效问题</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color w:val="auto"/>
          <w:spacing w:val="0"/>
          <w:sz w:val="32"/>
          <w:szCs w:val="32"/>
          <w:highlight w:val="none"/>
        </w:rPr>
      </w:pPr>
      <w:r>
        <w:rPr>
          <w:rFonts w:hint="eastAsia" w:ascii="仿宋" w:hAnsi="仿宋" w:eastAsia="仿宋" w:cs="仿宋"/>
          <w:spacing w:val="0"/>
          <w:sz w:val="32"/>
          <w:szCs w:val="32"/>
          <w:highlight w:val="none"/>
        </w:rPr>
        <w:t>（1）预算完成率偏低，本部门201</w:t>
      </w:r>
      <w:r>
        <w:rPr>
          <w:rFonts w:hint="eastAsia" w:ascii="仿宋" w:hAnsi="仿宋" w:eastAsia="仿宋" w:cs="仿宋"/>
          <w:spacing w:val="0"/>
          <w:sz w:val="32"/>
          <w:szCs w:val="32"/>
          <w:highlight w:val="none"/>
          <w:lang w:val="en-US" w:eastAsia="zh-CN"/>
        </w:rPr>
        <w:t>8</w:t>
      </w:r>
      <w:r>
        <w:rPr>
          <w:rFonts w:hint="eastAsia" w:ascii="仿宋" w:hAnsi="仿宋" w:eastAsia="仿宋" w:cs="仿宋"/>
          <w:spacing w:val="0"/>
          <w:sz w:val="32"/>
          <w:szCs w:val="32"/>
          <w:highlight w:val="none"/>
        </w:rPr>
        <w:t>年预算完成率仅为当年预算的</w:t>
      </w:r>
      <w:r>
        <w:rPr>
          <w:rFonts w:hint="eastAsia" w:ascii="仿宋" w:hAnsi="仿宋" w:eastAsia="仿宋" w:cs="仿宋"/>
          <w:color w:val="auto"/>
          <w:spacing w:val="0"/>
          <w:sz w:val="32"/>
          <w:szCs w:val="32"/>
          <w:highlight w:val="none"/>
        </w:rPr>
        <w:t>87.81%。</w:t>
      </w:r>
    </w:p>
    <w:p>
      <w:pPr>
        <w:keepNext w:val="0"/>
        <w:keepLines w:val="0"/>
        <w:pageBreakBefore w:val="0"/>
        <w:widowControl w:val="0"/>
        <w:kinsoku/>
        <w:wordWrap/>
        <w:overflowPunct/>
        <w:topLinePunct w:val="0"/>
        <w:autoSpaceDE/>
        <w:autoSpaceDN/>
        <w:bidi w:val="0"/>
        <w:adjustRightInd/>
        <w:snapToGrid/>
        <w:spacing w:line="544" w:lineRule="exact"/>
        <w:ind w:firstLine="560"/>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eastAsia="zh-CN"/>
        </w:rPr>
        <w:t>（</w:t>
      </w:r>
      <w:r>
        <w:rPr>
          <w:rFonts w:hint="eastAsia" w:ascii="仿宋" w:hAnsi="仿宋" w:eastAsia="仿宋" w:cs="仿宋"/>
          <w:color w:val="auto"/>
          <w:spacing w:val="0"/>
          <w:sz w:val="32"/>
          <w:szCs w:val="32"/>
          <w:highlight w:val="none"/>
          <w:lang w:val="en-US" w:eastAsia="zh-CN"/>
        </w:rPr>
        <w:t>2</w:t>
      </w:r>
      <w:r>
        <w:rPr>
          <w:rFonts w:hint="eastAsia" w:ascii="仿宋" w:hAnsi="仿宋" w:eastAsia="仿宋" w:cs="仿宋"/>
          <w:color w:val="auto"/>
          <w:spacing w:val="0"/>
          <w:sz w:val="32"/>
          <w:szCs w:val="32"/>
          <w:highlight w:val="none"/>
          <w:lang w:eastAsia="zh-CN"/>
        </w:rPr>
        <w:t>）本单位预算控制率</w:t>
      </w:r>
      <w:r>
        <w:rPr>
          <w:rFonts w:hint="eastAsia" w:ascii="仿宋" w:hAnsi="仿宋" w:eastAsia="仿宋" w:cs="仿宋"/>
          <w:color w:val="auto"/>
          <w:spacing w:val="0"/>
          <w:sz w:val="32"/>
          <w:szCs w:val="32"/>
          <w:highlight w:val="none"/>
          <w:lang w:val="en-US" w:eastAsia="zh-CN"/>
        </w:rPr>
        <w:t>偏低，本部门2018年预算完成率仅为当年预算的44.44%。</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auto"/>
          <w:spacing w:val="0"/>
          <w:sz w:val="32"/>
          <w:szCs w:val="32"/>
          <w:highlight w:val="none"/>
          <w:lang w:val="en-US" w:eastAsia="zh-CN"/>
        </w:rPr>
      </w:pPr>
      <w:r>
        <w:rPr>
          <w:rFonts w:hint="eastAsia" w:ascii="仿宋" w:hAnsi="仿宋" w:eastAsia="仿宋" w:cs="仿宋"/>
          <w:color w:val="auto"/>
          <w:spacing w:val="0"/>
          <w:sz w:val="32"/>
          <w:szCs w:val="32"/>
          <w:highlight w:val="none"/>
          <w:lang w:val="en-US" w:eastAsia="zh-CN"/>
        </w:rPr>
        <w:t>（3）本单位设定的整体绩效目标没有分解为具体的工作任务，没有与部门年度的任务数相对应，并且没有细化与本年度部门预算资金相匹配。</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六、经验教训与建议</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1、经验教训</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通过对201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年度部门整体支出绩效自评，我们</w:t>
      </w:r>
      <w:r>
        <w:rPr>
          <w:rFonts w:hint="eastAsia" w:ascii="仿宋" w:hAnsi="仿宋" w:eastAsia="仿宋" w:cs="仿宋"/>
          <w:color w:val="auto"/>
          <w:sz w:val="32"/>
          <w:szCs w:val="32"/>
          <w:lang w:val="en-US" w:eastAsia="zh-CN"/>
        </w:rPr>
        <w:t>要</w:t>
      </w:r>
      <w:r>
        <w:rPr>
          <w:rFonts w:hint="eastAsia" w:ascii="仿宋" w:hAnsi="仿宋" w:eastAsia="仿宋" w:cs="仿宋"/>
          <w:color w:val="auto"/>
          <w:sz w:val="32"/>
          <w:szCs w:val="32"/>
        </w:rPr>
        <w:t>做好预算编制工作，改变当前重预算争取，轻预算执行的倾向，要加大预算执行力度，将预算执行情况、结余资金情况与项目绩效评价紧密结合，使各项结余资金控制在合理范围内。单位</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设定的整体绩效目标</w:t>
      </w:r>
      <w:r>
        <w:rPr>
          <w:rFonts w:hint="eastAsia" w:ascii="仿宋" w:hAnsi="仿宋" w:eastAsia="仿宋" w:cs="仿宋"/>
          <w:color w:val="auto"/>
          <w:sz w:val="32"/>
          <w:szCs w:val="32"/>
          <w:lang w:val="en-US" w:eastAsia="zh-CN"/>
        </w:rPr>
        <w:t>时应将绩效目标</w:t>
      </w:r>
      <w:r>
        <w:rPr>
          <w:rFonts w:hint="eastAsia" w:ascii="仿宋" w:hAnsi="仿宋" w:eastAsia="仿宋" w:cs="仿宋"/>
          <w:color w:val="auto"/>
          <w:sz w:val="32"/>
          <w:szCs w:val="32"/>
        </w:rPr>
        <w:t>分解为具体的工作任务，与部门年度的任务数相对应，并且与本年度部门预算资金相匹配。</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建议</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 建议加强政策学习，提高思想认识。组织单位人员认真学习《预算法》等相关法规、制度，提高单位领导对全面预算管理的重视程度，增强财务人员的预算意识，坚持先有预算、后有支出，没有预算不得支出的支出理念。</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val="en-US" w:eastAsia="zh-CN"/>
        </w:rPr>
        <w:t>2</w:t>
      </w:r>
      <w:r>
        <w:rPr>
          <w:rFonts w:hint="eastAsia" w:ascii="仿宋" w:hAnsi="仿宋" w:eastAsia="仿宋" w:cs="仿宋"/>
          <w:color w:val="000000"/>
          <w:spacing w:val="0"/>
          <w:sz w:val="32"/>
          <w:szCs w:val="32"/>
        </w:rPr>
        <w:t>）加快预算执行力度，以减少存量资金</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lang w:val="en-US" w:eastAsia="zh-CN"/>
        </w:rPr>
        <w:t>提高财政资金的使用效益。</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color w:val="auto"/>
          <w:spacing w:val="-11"/>
          <w:sz w:val="32"/>
          <w:szCs w:val="32"/>
        </w:rPr>
      </w:pPr>
      <w:r>
        <w:rPr>
          <w:rFonts w:hint="eastAsia" w:ascii="仿宋" w:hAnsi="仿宋" w:eastAsia="仿宋" w:cs="仿宋"/>
          <w:color w:val="000000"/>
          <w:spacing w:val="-11"/>
          <w:sz w:val="32"/>
          <w:szCs w:val="32"/>
          <w:lang w:val="en-US" w:eastAsia="zh-CN"/>
        </w:rPr>
        <w:t>（3）</w:t>
      </w:r>
      <w:r>
        <w:rPr>
          <w:rFonts w:hint="eastAsia" w:ascii="仿宋" w:hAnsi="仿宋" w:eastAsia="仿宋" w:cs="仿宋"/>
          <w:color w:val="auto"/>
          <w:spacing w:val="-11"/>
          <w:sz w:val="32"/>
          <w:szCs w:val="32"/>
        </w:rPr>
        <w:t>单位</w:t>
      </w:r>
      <w:r>
        <w:rPr>
          <w:rFonts w:hint="eastAsia" w:ascii="仿宋" w:hAnsi="仿宋" w:eastAsia="仿宋" w:cs="仿宋"/>
          <w:color w:val="auto"/>
          <w:spacing w:val="-11"/>
          <w:sz w:val="32"/>
          <w:szCs w:val="32"/>
          <w:lang w:val="en-US" w:eastAsia="zh-CN"/>
        </w:rPr>
        <w:t>在</w:t>
      </w:r>
      <w:r>
        <w:rPr>
          <w:rFonts w:hint="eastAsia" w:ascii="仿宋" w:hAnsi="仿宋" w:eastAsia="仿宋" w:cs="仿宋"/>
          <w:color w:val="auto"/>
          <w:spacing w:val="-11"/>
          <w:sz w:val="32"/>
          <w:szCs w:val="32"/>
        </w:rPr>
        <w:t>设定的整体绩效目标</w:t>
      </w:r>
      <w:r>
        <w:rPr>
          <w:rFonts w:hint="eastAsia" w:ascii="仿宋" w:hAnsi="仿宋" w:eastAsia="仿宋" w:cs="仿宋"/>
          <w:color w:val="auto"/>
          <w:spacing w:val="-11"/>
          <w:sz w:val="32"/>
          <w:szCs w:val="32"/>
          <w:lang w:val="en-US" w:eastAsia="zh-CN"/>
        </w:rPr>
        <w:t>时应将绩效目标</w:t>
      </w:r>
      <w:r>
        <w:rPr>
          <w:rFonts w:hint="eastAsia" w:ascii="仿宋" w:hAnsi="仿宋" w:eastAsia="仿宋" w:cs="仿宋"/>
          <w:color w:val="auto"/>
          <w:spacing w:val="-11"/>
          <w:sz w:val="32"/>
          <w:szCs w:val="32"/>
        </w:rPr>
        <w:t>分解为具体的工作任务，与部门年度的任务数相对应，并且与本年度部门预算资金相匹配。</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20" w:lineRule="exact"/>
        <w:ind w:left="0" w:right="0" w:firstLine="640" w:firstLineChars="200"/>
        <w:jc w:val="left"/>
        <w:textAlignment w:val="auto"/>
        <w:rPr>
          <w:rFonts w:hint="eastAsia" w:ascii="仿宋" w:hAnsi="仿宋" w:eastAsia="仿宋" w:cs="仿宋"/>
          <w:i w:val="0"/>
          <w:caps w:val="0"/>
          <w:color w:val="000000"/>
          <w:spacing w:val="0"/>
          <w:kern w:val="0"/>
          <w:sz w:val="32"/>
          <w:szCs w:val="32"/>
          <w:lang w:val="en-US" w:eastAsia="zh-CN" w:bidi="ar"/>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6E0C"/>
    <w:rsid w:val="03E94A29"/>
    <w:rsid w:val="05EC3835"/>
    <w:rsid w:val="06536761"/>
    <w:rsid w:val="0B620D6E"/>
    <w:rsid w:val="0C5E2CA5"/>
    <w:rsid w:val="108A4C49"/>
    <w:rsid w:val="12AC7830"/>
    <w:rsid w:val="1463795F"/>
    <w:rsid w:val="15D82512"/>
    <w:rsid w:val="16557366"/>
    <w:rsid w:val="16666A9B"/>
    <w:rsid w:val="193C634B"/>
    <w:rsid w:val="1A1A16A3"/>
    <w:rsid w:val="1C1D26DE"/>
    <w:rsid w:val="1D961C9E"/>
    <w:rsid w:val="1DEA59BD"/>
    <w:rsid w:val="21A47CBE"/>
    <w:rsid w:val="24FB4FA8"/>
    <w:rsid w:val="2750575A"/>
    <w:rsid w:val="2A10277C"/>
    <w:rsid w:val="2AA107A5"/>
    <w:rsid w:val="2CDF5F3B"/>
    <w:rsid w:val="2F4C0146"/>
    <w:rsid w:val="2F855CA8"/>
    <w:rsid w:val="2F9D57A4"/>
    <w:rsid w:val="32596FB8"/>
    <w:rsid w:val="34231EDD"/>
    <w:rsid w:val="343C273E"/>
    <w:rsid w:val="379868D7"/>
    <w:rsid w:val="3AF056F0"/>
    <w:rsid w:val="41DE7A0A"/>
    <w:rsid w:val="45E2316D"/>
    <w:rsid w:val="4B1658B8"/>
    <w:rsid w:val="4B6E5597"/>
    <w:rsid w:val="4C0C65D6"/>
    <w:rsid w:val="4D971780"/>
    <w:rsid w:val="4F045A2A"/>
    <w:rsid w:val="58A31455"/>
    <w:rsid w:val="59B11D5A"/>
    <w:rsid w:val="5C626AB6"/>
    <w:rsid w:val="60743DD5"/>
    <w:rsid w:val="60B62B0F"/>
    <w:rsid w:val="613B4B4D"/>
    <w:rsid w:val="61700C02"/>
    <w:rsid w:val="64BC59F5"/>
    <w:rsid w:val="65291E2C"/>
    <w:rsid w:val="65B44C1E"/>
    <w:rsid w:val="696D29C9"/>
    <w:rsid w:val="6F6E259B"/>
    <w:rsid w:val="701C34DF"/>
    <w:rsid w:val="70987AF4"/>
    <w:rsid w:val="72511463"/>
    <w:rsid w:val="74635914"/>
    <w:rsid w:val="768F5375"/>
    <w:rsid w:val="7A1541EB"/>
    <w:rsid w:val="7B763A0F"/>
    <w:rsid w:val="7C857D99"/>
    <w:rsid w:val="7DBC611C"/>
    <w:rsid w:val="7F3F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beforeLines="0" w:beforeAutospacing="0" w:after="330" w:afterLines="0" w:afterAutospacing="0" w:line="560" w:lineRule="exact"/>
      <w:ind w:firstLine="562" w:firstLineChars="200"/>
      <w:outlineLvl w:val="0"/>
    </w:pPr>
    <w:rPr>
      <w:rFonts w:eastAsia="仿宋"/>
      <w:b/>
      <w:kern w:val="44"/>
    </w:rPr>
  </w:style>
  <w:style w:type="paragraph" w:styleId="3">
    <w:name w:val="heading 2"/>
    <w:basedOn w:val="1"/>
    <w:next w:val="1"/>
    <w:unhideWhenUsed/>
    <w:qFormat/>
    <w:uiPriority w:val="9"/>
    <w:pPr>
      <w:keepNext/>
      <w:keepLines/>
      <w:spacing w:before="260" w:beforeLines="0" w:beforeAutospacing="0" w:after="260" w:afterLines="0" w:afterAutospacing="0" w:line="560" w:lineRule="exact"/>
      <w:ind w:firstLine="562" w:firstLineChars="200"/>
      <w:outlineLvl w:val="1"/>
    </w:pPr>
    <w:rPr>
      <w:rFonts w:ascii="Arial" w:hAnsi="Arial"/>
    </w:rPr>
  </w:style>
  <w:style w:type="paragraph" w:styleId="4">
    <w:name w:val="heading 3"/>
    <w:basedOn w:val="1"/>
    <w:next w:val="1"/>
    <w:unhideWhenUsed/>
    <w:qFormat/>
    <w:uiPriority w:val="9"/>
    <w:pPr>
      <w:keepNext/>
      <w:keepLines/>
      <w:spacing w:before="260" w:beforeLines="0" w:beforeAutospacing="0" w:after="260" w:afterLines="0" w:afterAutospacing="0" w:line="560" w:lineRule="exact"/>
      <w:outlineLvl w:val="2"/>
    </w:p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9">
    <w:name w:val="List Paragraph"/>
    <w:basedOn w:val="1"/>
    <w:qFormat/>
    <w:uiPriority w:val="34"/>
    <w:pPr>
      <w:ind w:firstLine="420" w:firstLineChars="200"/>
    </w:pPr>
    <w:rPr>
      <w:rFonts w:ascii="Calibri" w:hAnsi="Calibri" w:eastAsia="宋体" w:cs="Times New Roman"/>
      <w:szCs w:val="22"/>
    </w:rPr>
  </w:style>
  <w:style w:type="character" w:customStyle="1" w:styleId="10">
    <w:name w:val="标题 1 Char"/>
    <w:link w:val="2"/>
    <w:qFormat/>
    <w:uiPriority w:val="0"/>
    <w:rPr>
      <w:rFonts w:eastAsia="仿宋"/>
      <w:b/>
      <w:kern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Q版小小小棋</cp:lastModifiedBy>
  <dcterms:modified xsi:type="dcterms:W3CDTF">2021-07-01T12:57:12Z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D8C0D565F7584734919CA0E4251B818B</vt:lpwstr>
  </property>
</Properties>
</file>